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3D5DD" w14:textId="77777777" w:rsidR="00765B38" w:rsidRDefault="00765B38" w:rsidP="00765B38">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IN THE UNITED STATES DISTRICT COURT</w:t>
      </w:r>
    </w:p>
    <w:p w14:paraId="46B0706D" w14:textId="77777777" w:rsidR="00765B38" w:rsidRDefault="00765B38" w:rsidP="00765B38">
      <w:pPr>
        <w:jc w:val="center"/>
        <w:rPr>
          <w:b/>
          <w:bCs/>
          <w:sz w:val="24"/>
          <w:szCs w:val="24"/>
        </w:rPr>
      </w:pPr>
      <w:r>
        <w:rPr>
          <w:b/>
          <w:bCs/>
          <w:sz w:val="24"/>
          <w:szCs w:val="24"/>
        </w:rPr>
        <w:t>FOR THE EASTERN DISTRICT OF TEXAS</w:t>
      </w:r>
    </w:p>
    <w:p w14:paraId="79D5EA39" w14:textId="77777777" w:rsidR="00765B38" w:rsidRDefault="00765B38" w:rsidP="00765B38">
      <w:pPr>
        <w:jc w:val="center"/>
        <w:rPr>
          <w:b/>
          <w:bCs/>
          <w:sz w:val="24"/>
          <w:szCs w:val="24"/>
        </w:rPr>
      </w:pPr>
      <w:r>
        <w:rPr>
          <w:b/>
          <w:bCs/>
          <w:sz w:val="24"/>
          <w:szCs w:val="24"/>
        </w:rPr>
        <w:t>TYLER DIVISION</w:t>
      </w:r>
    </w:p>
    <w:p w14:paraId="1E878ABD" w14:textId="77777777" w:rsidR="00765B38" w:rsidRDefault="00765B38" w:rsidP="00765B38">
      <w:pPr>
        <w:jc w:val="both"/>
        <w:rPr>
          <w:b/>
          <w:bCs/>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5112"/>
        <w:gridCol w:w="5112"/>
      </w:tblGrid>
      <w:tr w:rsidR="00765B38" w14:paraId="7F6DE2CA" w14:textId="77777777">
        <w:trPr>
          <w:cantSplit/>
        </w:trPr>
        <w:tc>
          <w:tcPr>
            <w:tcW w:w="5112" w:type="dxa"/>
            <w:tcBorders>
              <w:top w:val="nil"/>
              <w:left w:val="nil"/>
              <w:bottom w:val="nil"/>
              <w:right w:val="nil"/>
            </w:tcBorders>
          </w:tcPr>
          <w:p w14:paraId="50E23C37" w14:textId="77777777" w:rsidR="00765B38" w:rsidRDefault="00765B38">
            <w:pPr>
              <w:tabs>
                <w:tab w:val="right" w:pos="4992"/>
              </w:tabs>
              <w:spacing w:before="120"/>
              <w:rPr>
                <w:b/>
                <w:bCs/>
                <w:sz w:val="24"/>
                <w:szCs w:val="24"/>
              </w:rPr>
            </w:pPr>
            <w:r>
              <w:rPr>
                <w:b/>
                <w:bCs/>
                <w:sz w:val="24"/>
                <w:szCs w:val="24"/>
              </w:rPr>
              <w:tab/>
            </w:r>
          </w:p>
          <w:p w14:paraId="122CF5BB" w14:textId="77777777" w:rsidR="00765B38" w:rsidRDefault="00765B38">
            <w:pPr>
              <w:tabs>
                <w:tab w:val="right" w:pos="4992"/>
              </w:tabs>
              <w:rPr>
                <w:b/>
                <w:bCs/>
                <w:sz w:val="24"/>
                <w:szCs w:val="24"/>
              </w:rPr>
            </w:pPr>
            <w:r>
              <w:rPr>
                <w:b/>
                <w:bCs/>
                <w:sz w:val="24"/>
                <w:szCs w:val="24"/>
              </w:rPr>
              <w:tab/>
            </w:r>
          </w:p>
          <w:p w14:paraId="61DBC20D" w14:textId="77777777" w:rsidR="00765B38" w:rsidRDefault="00765B38">
            <w:pPr>
              <w:tabs>
                <w:tab w:val="left" w:pos="720"/>
                <w:tab w:val="right" w:pos="4992"/>
              </w:tabs>
              <w:rPr>
                <w:b/>
                <w:bCs/>
                <w:sz w:val="24"/>
                <w:szCs w:val="24"/>
              </w:rPr>
            </w:pPr>
            <w:r>
              <w:rPr>
                <w:b/>
                <w:bCs/>
                <w:sz w:val="24"/>
                <w:szCs w:val="24"/>
              </w:rPr>
              <w:tab/>
              <w:t>Plaintiff</w:t>
            </w:r>
            <w:r>
              <w:rPr>
                <w:b/>
                <w:bCs/>
                <w:sz w:val="24"/>
                <w:szCs w:val="24"/>
              </w:rPr>
              <w:tab/>
            </w:r>
          </w:p>
          <w:p w14:paraId="46B052A0" w14:textId="77777777" w:rsidR="00765B38" w:rsidRDefault="00765B38">
            <w:pPr>
              <w:tabs>
                <w:tab w:val="right" w:pos="4992"/>
              </w:tabs>
              <w:rPr>
                <w:b/>
                <w:bCs/>
                <w:sz w:val="24"/>
                <w:szCs w:val="24"/>
              </w:rPr>
            </w:pPr>
            <w:r>
              <w:rPr>
                <w:b/>
                <w:bCs/>
                <w:sz w:val="24"/>
                <w:szCs w:val="24"/>
              </w:rPr>
              <w:tab/>
            </w:r>
          </w:p>
          <w:p w14:paraId="755E9F29" w14:textId="77777777" w:rsidR="00765B38" w:rsidRDefault="006F4A38">
            <w:pPr>
              <w:tabs>
                <w:tab w:val="right" w:pos="4992"/>
              </w:tabs>
              <w:rPr>
                <w:b/>
                <w:bCs/>
                <w:sz w:val="24"/>
                <w:szCs w:val="24"/>
              </w:rPr>
            </w:pPr>
            <w:r>
              <w:rPr>
                <w:b/>
                <w:bCs/>
                <w:sz w:val="24"/>
                <w:szCs w:val="24"/>
              </w:rPr>
              <w:t>v</w:t>
            </w:r>
            <w:r w:rsidR="00765B38">
              <w:rPr>
                <w:b/>
                <w:bCs/>
                <w:sz w:val="24"/>
                <w:szCs w:val="24"/>
              </w:rPr>
              <w:t>.</w:t>
            </w:r>
            <w:r w:rsidR="00765B38">
              <w:rPr>
                <w:b/>
                <w:bCs/>
                <w:sz w:val="24"/>
                <w:szCs w:val="24"/>
              </w:rPr>
              <w:tab/>
            </w:r>
          </w:p>
          <w:p w14:paraId="4A0CDC55" w14:textId="77777777" w:rsidR="00765B38" w:rsidRDefault="00765B38">
            <w:pPr>
              <w:tabs>
                <w:tab w:val="right" w:pos="4992"/>
              </w:tabs>
              <w:rPr>
                <w:b/>
                <w:bCs/>
                <w:sz w:val="24"/>
                <w:szCs w:val="24"/>
              </w:rPr>
            </w:pPr>
            <w:r>
              <w:rPr>
                <w:b/>
                <w:bCs/>
                <w:sz w:val="24"/>
                <w:szCs w:val="24"/>
              </w:rPr>
              <w:tab/>
            </w:r>
          </w:p>
          <w:p w14:paraId="6A6D8D35" w14:textId="77777777" w:rsidR="00765B38" w:rsidRDefault="00765B38">
            <w:pPr>
              <w:tabs>
                <w:tab w:val="right" w:pos="4992"/>
              </w:tabs>
              <w:rPr>
                <w:b/>
                <w:bCs/>
                <w:sz w:val="24"/>
                <w:szCs w:val="24"/>
              </w:rPr>
            </w:pPr>
            <w:r>
              <w:rPr>
                <w:b/>
                <w:bCs/>
                <w:sz w:val="24"/>
                <w:szCs w:val="24"/>
              </w:rPr>
              <w:tab/>
            </w:r>
          </w:p>
          <w:p w14:paraId="07CF0C6A" w14:textId="77777777" w:rsidR="00765B38" w:rsidRDefault="00765B38">
            <w:pPr>
              <w:tabs>
                <w:tab w:val="right" w:pos="4992"/>
              </w:tabs>
              <w:rPr>
                <w:b/>
                <w:bCs/>
                <w:sz w:val="24"/>
                <w:szCs w:val="24"/>
              </w:rPr>
            </w:pPr>
            <w:r>
              <w:rPr>
                <w:b/>
                <w:bCs/>
                <w:sz w:val="24"/>
                <w:szCs w:val="24"/>
              </w:rPr>
              <w:tab/>
            </w:r>
          </w:p>
          <w:p w14:paraId="2D1BF009" w14:textId="77777777" w:rsidR="00765B38" w:rsidRDefault="00765B38">
            <w:pPr>
              <w:tabs>
                <w:tab w:val="left" w:pos="720"/>
                <w:tab w:val="right" w:pos="4992"/>
              </w:tabs>
              <w:rPr>
                <w:b/>
                <w:bCs/>
                <w:sz w:val="24"/>
                <w:szCs w:val="24"/>
              </w:rPr>
            </w:pPr>
            <w:r>
              <w:rPr>
                <w:b/>
                <w:bCs/>
                <w:sz w:val="24"/>
                <w:szCs w:val="24"/>
              </w:rPr>
              <w:tab/>
              <w:t>Defendant</w:t>
            </w:r>
            <w:r>
              <w:rPr>
                <w:b/>
                <w:bCs/>
                <w:sz w:val="24"/>
                <w:szCs w:val="24"/>
              </w:rPr>
              <w:tab/>
            </w:r>
          </w:p>
          <w:p w14:paraId="23D46595" w14:textId="77777777" w:rsidR="00765B38" w:rsidRDefault="00765B38">
            <w:pPr>
              <w:spacing w:after="57"/>
              <w:rPr>
                <w:sz w:val="24"/>
                <w:szCs w:val="24"/>
              </w:rPr>
            </w:pPr>
            <w:r>
              <w:rPr>
                <w:sz w:val="24"/>
                <w:szCs w:val="24"/>
              </w:rPr>
              <w:tab/>
            </w:r>
            <w:r>
              <w:rPr>
                <w:sz w:val="24"/>
                <w:szCs w:val="24"/>
              </w:rPr>
              <w:tab/>
            </w:r>
            <w:r>
              <w:rPr>
                <w:sz w:val="24"/>
                <w:szCs w:val="24"/>
              </w:rPr>
              <w:tab/>
            </w:r>
            <w:r>
              <w:rPr>
                <w:sz w:val="24"/>
                <w:szCs w:val="24"/>
              </w:rPr>
              <w:tab/>
            </w:r>
            <w:r>
              <w:rPr>
                <w:sz w:val="24"/>
                <w:szCs w:val="24"/>
              </w:rPr>
              <w:tab/>
            </w:r>
          </w:p>
        </w:tc>
        <w:tc>
          <w:tcPr>
            <w:tcW w:w="5112" w:type="dxa"/>
            <w:tcBorders>
              <w:top w:val="nil"/>
              <w:left w:val="nil"/>
              <w:bottom w:val="nil"/>
              <w:right w:val="nil"/>
            </w:tcBorders>
          </w:tcPr>
          <w:p w14:paraId="2649D694" w14:textId="77777777" w:rsidR="00765B38" w:rsidRDefault="00765B38">
            <w:pPr>
              <w:spacing w:before="120"/>
              <w:rPr>
                <w:b/>
                <w:bCs/>
                <w:sz w:val="24"/>
                <w:szCs w:val="24"/>
              </w:rPr>
            </w:pPr>
            <w:r>
              <w:rPr>
                <w:b/>
                <w:bCs/>
                <w:sz w:val="24"/>
                <w:szCs w:val="24"/>
              </w:rPr>
              <w:t>§</w:t>
            </w:r>
          </w:p>
          <w:p w14:paraId="79B9B03F" w14:textId="77777777" w:rsidR="00765B38" w:rsidRDefault="00765B38">
            <w:pPr>
              <w:rPr>
                <w:b/>
                <w:bCs/>
                <w:sz w:val="24"/>
                <w:szCs w:val="24"/>
              </w:rPr>
            </w:pPr>
            <w:r>
              <w:rPr>
                <w:b/>
                <w:bCs/>
                <w:sz w:val="24"/>
                <w:szCs w:val="24"/>
              </w:rPr>
              <w:t>§</w:t>
            </w:r>
          </w:p>
          <w:p w14:paraId="63AB61D6" w14:textId="77777777" w:rsidR="00765B38" w:rsidRDefault="00765B38">
            <w:pPr>
              <w:rPr>
                <w:b/>
                <w:bCs/>
                <w:sz w:val="24"/>
                <w:szCs w:val="24"/>
              </w:rPr>
            </w:pPr>
            <w:r>
              <w:rPr>
                <w:b/>
                <w:bCs/>
                <w:sz w:val="24"/>
                <w:szCs w:val="24"/>
              </w:rPr>
              <w:t>§</w:t>
            </w:r>
          </w:p>
          <w:p w14:paraId="40D53FCF" w14:textId="77777777" w:rsidR="00765B38" w:rsidRDefault="00765B38">
            <w:pPr>
              <w:rPr>
                <w:b/>
                <w:bCs/>
                <w:sz w:val="24"/>
                <w:szCs w:val="24"/>
              </w:rPr>
            </w:pPr>
            <w:r>
              <w:rPr>
                <w:b/>
                <w:bCs/>
                <w:sz w:val="24"/>
                <w:szCs w:val="24"/>
              </w:rPr>
              <w:t>§</w:t>
            </w:r>
          </w:p>
          <w:p w14:paraId="4FFDC5B6" w14:textId="77777777" w:rsidR="00765B38" w:rsidRDefault="00765B38">
            <w:pPr>
              <w:rPr>
                <w:b/>
                <w:bCs/>
                <w:sz w:val="24"/>
                <w:szCs w:val="24"/>
              </w:rPr>
            </w:pPr>
            <w:r>
              <w:rPr>
                <w:b/>
                <w:bCs/>
                <w:sz w:val="24"/>
                <w:szCs w:val="24"/>
              </w:rPr>
              <w:t>§</w:t>
            </w:r>
            <w:r>
              <w:rPr>
                <w:b/>
                <w:bCs/>
                <w:sz w:val="24"/>
                <w:szCs w:val="24"/>
              </w:rPr>
              <w:tab/>
              <w:t xml:space="preserve">CASE NO. </w:t>
            </w:r>
          </w:p>
          <w:p w14:paraId="5596A4F7" w14:textId="77777777" w:rsidR="00765B38" w:rsidRDefault="00765B38">
            <w:pPr>
              <w:rPr>
                <w:b/>
                <w:bCs/>
                <w:sz w:val="24"/>
                <w:szCs w:val="24"/>
              </w:rPr>
            </w:pPr>
            <w:r>
              <w:rPr>
                <w:b/>
                <w:bCs/>
                <w:sz w:val="24"/>
                <w:szCs w:val="24"/>
              </w:rPr>
              <w:t>§</w:t>
            </w:r>
            <w:r>
              <w:rPr>
                <w:b/>
                <w:bCs/>
                <w:sz w:val="24"/>
                <w:szCs w:val="24"/>
              </w:rPr>
              <w:tab/>
              <w:t>PATENT CASE</w:t>
            </w:r>
          </w:p>
          <w:p w14:paraId="0F438D5F" w14:textId="77777777" w:rsidR="00765B38" w:rsidRDefault="00765B38">
            <w:pPr>
              <w:rPr>
                <w:b/>
                <w:bCs/>
                <w:sz w:val="24"/>
                <w:szCs w:val="24"/>
              </w:rPr>
            </w:pPr>
            <w:r>
              <w:rPr>
                <w:b/>
                <w:bCs/>
                <w:sz w:val="24"/>
                <w:szCs w:val="24"/>
              </w:rPr>
              <w:t>§</w:t>
            </w:r>
          </w:p>
          <w:p w14:paraId="2D932FBC" w14:textId="77777777" w:rsidR="00765B38" w:rsidRDefault="00765B38">
            <w:pPr>
              <w:rPr>
                <w:b/>
                <w:bCs/>
                <w:sz w:val="24"/>
                <w:szCs w:val="24"/>
              </w:rPr>
            </w:pPr>
            <w:r>
              <w:rPr>
                <w:b/>
                <w:bCs/>
                <w:sz w:val="24"/>
                <w:szCs w:val="24"/>
              </w:rPr>
              <w:t>§</w:t>
            </w:r>
          </w:p>
          <w:p w14:paraId="029AF7F2" w14:textId="77777777" w:rsidR="00765B38" w:rsidRDefault="00765B38">
            <w:pPr>
              <w:rPr>
                <w:b/>
                <w:bCs/>
                <w:sz w:val="24"/>
                <w:szCs w:val="24"/>
              </w:rPr>
            </w:pPr>
            <w:r>
              <w:rPr>
                <w:b/>
                <w:bCs/>
                <w:sz w:val="24"/>
                <w:szCs w:val="24"/>
              </w:rPr>
              <w:t>§</w:t>
            </w:r>
          </w:p>
          <w:p w14:paraId="0E26BEAE" w14:textId="77777777" w:rsidR="00765B38" w:rsidRDefault="00765B38">
            <w:pPr>
              <w:spacing w:after="57"/>
              <w:rPr>
                <w:sz w:val="24"/>
                <w:szCs w:val="24"/>
              </w:rPr>
            </w:pPr>
            <w:r>
              <w:rPr>
                <w:b/>
                <w:bCs/>
                <w:sz w:val="24"/>
                <w:szCs w:val="24"/>
              </w:rPr>
              <w:t>§</w:t>
            </w:r>
          </w:p>
        </w:tc>
      </w:tr>
    </w:tbl>
    <w:p w14:paraId="35A25E76" w14:textId="77777777" w:rsidR="00765B38" w:rsidRDefault="00765B38" w:rsidP="00765B38">
      <w:pPr>
        <w:jc w:val="both"/>
        <w:rPr>
          <w:sz w:val="24"/>
          <w:szCs w:val="24"/>
        </w:rPr>
      </w:pPr>
    </w:p>
    <w:p w14:paraId="310EB11B" w14:textId="77777777" w:rsidR="00765B38" w:rsidRDefault="00765B38" w:rsidP="00765B38">
      <w:pPr>
        <w:jc w:val="center"/>
        <w:rPr>
          <w:sz w:val="24"/>
          <w:szCs w:val="24"/>
        </w:rPr>
      </w:pPr>
      <w:r>
        <w:rPr>
          <w:b/>
          <w:bCs/>
          <w:sz w:val="24"/>
          <w:szCs w:val="24"/>
        </w:rPr>
        <w:t>DISCOVERY ORDER</w:t>
      </w:r>
    </w:p>
    <w:p w14:paraId="1BAD234A" w14:textId="77777777" w:rsidR="00765B38" w:rsidRDefault="00765B38" w:rsidP="00765B38">
      <w:pPr>
        <w:jc w:val="both"/>
        <w:rPr>
          <w:sz w:val="24"/>
          <w:szCs w:val="24"/>
        </w:rPr>
      </w:pPr>
    </w:p>
    <w:p w14:paraId="5C2F967D" w14:textId="77777777" w:rsidR="00765B38" w:rsidRDefault="00765B38" w:rsidP="00765B38">
      <w:pPr>
        <w:jc w:val="both"/>
        <w:rPr>
          <w:sz w:val="24"/>
          <w:szCs w:val="24"/>
        </w:rPr>
      </w:pPr>
      <w:r>
        <w:rPr>
          <w:sz w:val="24"/>
          <w:szCs w:val="24"/>
        </w:rPr>
        <w:tab/>
        <w:t>After review of the pleaded claims and defenses in this action and in furtherance of the management of the Court’s docket under Fed. R. Civ. P. 16, the Court enters the following Discovery Order:</w:t>
      </w:r>
    </w:p>
    <w:p w14:paraId="28AD13A0" w14:textId="77777777" w:rsidR="00765B38" w:rsidRDefault="00765B38" w:rsidP="009D507F">
      <w:pPr>
        <w:numPr>
          <w:ilvl w:val="12"/>
          <w:numId w:val="0"/>
        </w:numPr>
        <w:tabs>
          <w:tab w:val="left" w:pos="720"/>
          <w:tab w:val="left" w:pos="1440"/>
          <w:tab w:val="left" w:pos="2160"/>
        </w:tabs>
        <w:jc w:val="both"/>
        <w:rPr>
          <w:sz w:val="24"/>
          <w:szCs w:val="24"/>
        </w:rPr>
        <w:sectPr w:rsidR="00765B38">
          <w:headerReference w:type="default" r:id="rId7"/>
          <w:type w:val="continuous"/>
          <w:pgSz w:w="12240" w:h="15840"/>
          <w:pgMar w:top="1879" w:right="1440" w:bottom="1440" w:left="1440" w:header="1440" w:footer="1440" w:gutter="0"/>
          <w:cols w:space="720"/>
          <w:noEndnote/>
        </w:sectPr>
      </w:pPr>
    </w:p>
    <w:p w14:paraId="12D6AF47" w14:textId="77777777" w:rsidR="00765B38" w:rsidRDefault="00765B38" w:rsidP="00765B38">
      <w:pPr>
        <w:numPr>
          <w:ilvl w:val="12"/>
          <w:numId w:val="0"/>
        </w:numPr>
        <w:jc w:val="both"/>
        <w:rPr>
          <w:sz w:val="24"/>
          <w:szCs w:val="24"/>
        </w:rPr>
      </w:pPr>
    </w:p>
    <w:p w14:paraId="510EFB94" w14:textId="77777777" w:rsidR="009D507F" w:rsidRPr="009D507F" w:rsidRDefault="00765B38" w:rsidP="009D507F">
      <w:pPr>
        <w:pStyle w:val="ListParagraph"/>
        <w:numPr>
          <w:ilvl w:val="0"/>
          <w:numId w:val="4"/>
        </w:numPr>
        <w:tabs>
          <w:tab w:val="left" w:pos="720"/>
        </w:tabs>
        <w:ind w:left="720" w:right="720"/>
        <w:jc w:val="both"/>
        <w:rPr>
          <w:sz w:val="24"/>
          <w:szCs w:val="24"/>
        </w:rPr>
      </w:pPr>
      <w:r w:rsidRPr="009D507F">
        <w:rPr>
          <w:b/>
          <w:bCs/>
          <w:sz w:val="24"/>
          <w:szCs w:val="24"/>
        </w:rPr>
        <w:t xml:space="preserve">Discovery Limitations. </w:t>
      </w:r>
      <w:r w:rsidRPr="009D507F">
        <w:rPr>
          <w:sz w:val="24"/>
          <w:szCs w:val="24"/>
        </w:rPr>
        <w:t xml:space="preserve"> Discovery is limited in this cause to the disclosures </w:t>
      </w:r>
      <w:r w:rsidR="009D507F">
        <w:rPr>
          <w:sz w:val="24"/>
          <w:szCs w:val="24"/>
        </w:rPr>
        <w:t>set forth in the Court’s Docket Control Order</w:t>
      </w:r>
      <w:r w:rsidR="00C75AF1" w:rsidRPr="009D507F">
        <w:rPr>
          <w:sz w:val="24"/>
          <w:szCs w:val="24"/>
        </w:rPr>
        <w:t>,</w:t>
      </w:r>
      <w:r w:rsidRPr="009D507F">
        <w:rPr>
          <w:sz w:val="24"/>
          <w:szCs w:val="24"/>
        </w:rPr>
        <w:t xml:space="preserve"> t</w:t>
      </w:r>
      <w:r w:rsidR="006F4A38">
        <w:rPr>
          <w:sz w:val="24"/>
          <w:szCs w:val="24"/>
        </w:rPr>
        <w:t>ogether with 5</w:t>
      </w:r>
      <w:r w:rsidR="009D507F">
        <w:rPr>
          <w:sz w:val="24"/>
          <w:szCs w:val="24"/>
        </w:rPr>
        <w:t>0 interrogatories and</w:t>
      </w:r>
      <w:r w:rsidR="006F4A38">
        <w:rPr>
          <w:sz w:val="24"/>
          <w:szCs w:val="24"/>
        </w:rPr>
        <w:t xml:space="preserve"> 5</w:t>
      </w:r>
      <w:r w:rsidRPr="009D507F">
        <w:rPr>
          <w:sz w:val="24"/>
          <w:szCs w:val="24"/>
        </w:rPr>
        <w:t>0 requests for admissions</w:t>
      </w:r>
      <w:r w:rsidR="00E90C0D" w:rsidRPr="009D507F">
        <w:rPr>
          <w:sz w:val="24"/>
          <w:szCs w:val="24"/>
        </w:rPr>
        <w:t xml:space="preserve"> per party.  Also permitted are </w:t>
      </w:r>
      <w:r w:rsidRPr="009D507F">
        <w:rPr>
          <w:sz w:val="24"/>
          <w:szCs w:val="24"/>
        </w:rPr>
        <w:t xml:space="preserve">the depositions of the parties, depositions on written questions of custodians of business records for third parties, </w:t>
      </w:r>
      <w:r w:rsidR="00E90C0D" w:rsidRPr="009D507F">
        <w:rPr>
          <w:sz w:val="24"/>
          <w:szCs w:val="24"/>
        </w:rPr>
        <w:t xml:space="preserve">and </w:t>
      </w:r>
      <w:r w:rsidRPr="009D507F">
        <w:rPr>
          <w:sz w:val="24"/>
          <w:szCs w:val="24"/>
        </w:rPr>
        <w:t xml:space="preserve">depositions of each </w:t>
      </w:r>
      <w:r w:rsidR="00E90C0D" w:rsidRPr="009D507F">
        <w:rPr>
          <w:sz w:val="24"/>
          <w:szCs w:val="24"/>
        </w:rPr>
        <w:t>party’s</w:t>
      </w:r>
      <w:r w:rsidRPr="009D507F">
        <w:rPr>
          <w:sz w:val="24"/>
          <w:szCs w:val="24"/>
        </w:rPr>
        <w:t xml:space="preserve"> expert witnesses</w:t>
      </w:r>
      <w:r w:rsidR="00E90C0D" w:rsidRPr="009D507F">
        <w:rPr>
          <w:sz w:val="24"/>
          <w:szCs w:val="24"/>
        </w:rPr>
        <w:t>.  T</w:t>
      </w:r>
      <w:r w:rsidRPr="009D507F">
        <w:rPr>
          <w:sz w:val="24"/>
          <w:szCs w:val="24"/>
        </w:rPr>
        <w:t>he parties may agree on a number of hours of depositions</w:t>
      </w:r>
      <w:r w:rsidR="00E90C0D" w:rsidRPr="009D507F">
        <w:rPr>
          <w:sz w:val="24"/>
          <w:szCs w:val="24"/>
        </w:rPr>
        <w:t xml:space="preserve"> per party</w:t>
      </w:r>
      <w:r w:rsidRPr="009D507F">
        <w:rPr>
          <w:sz w:val="24"/>
          <w:szCs w:val="24"/>
        </w:rPr>
        <w:t xml:space="preserve">.  </w:t>
      </w:r>
      <w:r w:rsidR="00382E6E">
        <w:rPr>
          <w:sz w:val="24"/>
          <w:szCs w:val="24"/>
        </w:rPr>
        <w:t xml:space="preserve">Each side is limited to two testifying expert witnesses. </w:t>
      </w:r>
    </w:p>
    <w:p w14:paraId="46D62CDD" w14:textId="77777777" w:rsidR="009D507F" w:rsidRPr="009D507F" w:rsidRDefault="009D507F" w:rsidP="009D507F">
      <w:pPr>
        <w:pStyle w:val="ListParagraph"/>
        <w:tabs>
          <w:tab w:val="left" w:pos="720"/>
        </w:tabs>
        <w:ind w:right="720"/>
        <w:jc w:val="both"/>
        <w:rPr>
          <w:sz w:val="24"/>
          <w:szCs w:val="24"/>
        </w:rPr>
      </w:pPr>
    </w:p>
    <w:p w14:paraId="2183FACC" w14:textId="77777777" w:rsidR="009D507F" w:rsidRDefault="00765B38" w:rsidP="009D507F">
      <w:pPr>
        <w:pStyle w:val="ListParagraph"/>
        <w:numPr>
          <w:ilvl w:val="0"/>
          <w:numId w:val="4"/>
        </w:numPr>
        <w:tabs>
          <w:tab w:val="left" w:pos="720"/>
        </w:tabs>
        <w:ind w:left="720" w:right="720"/>
        <w:jc w:val="both"/>
        <w:rPr>
          <w:sz w:val="24"/>
          <w:szCs w:val="24"/>
        </w:rPr>
      </w:pPr>
      <w:r w:rsidRPr="009D507F">
        <w:rPr>
          <w:b/>
          <w:bCs/>
          <w:sz w:val="24"/>
          <w:szCs w:val="24"/>
        </w:rPr>
        <w:t xml:space="preserve">Requests for Production. </w:t>
      </w:r>
      <w:r w:rsidRPr="009D507F">
        <w:rPr>
          <w:sz w:val="24"/>
          <w:szCs w:val="24"/>
        </w:rPr>
        <w:t xml:space="preserve"> Because documents relevant to any claim or defense are to be produced pursuant to the Patent Rules and </w:t>
      </w:r>
      <w:r w:rsidR="00382E6E">
        <w:rPr>
          <w:sz w:val="24"/>
          <w:szCs w:val="24"/>
        </w:rPr>
        <w:t>the Court’s Docket Control</w:t>
      </w:r>
      <w:r w:rsidRPr="009D507F">
        <w:rPr>
          <w:sz w:val="24"/>
          <w:szCs w:val="24"/>
        </w:rPr>
        <w:t xml:space="preserve"> Order, requests for production are unnecessary.  However, should a party believe that certain relevant documents have not been produced, that party may request said documents by letter.  The Court will entertain a motion to compel documents without the necessity of a movant propounding formal requests for production.</w:t>
      </w:r>
    </w:p>
    <w:p w14:paraId="5F3915C9" w14:textId="77777777" w:rsidR="009D507F" w:rsidRPr="009D507F" w:rsidRDefault="009D507F" w:rsidP="009D507F">
      <w:pPr>
        <w:pStyle w:val="ListParagraph"/>
        <w:rPr>
          <w:b/>
          <w:bCs/>
        </w:rPr>
      </w:pPr>
    </w:p>
    <w:p w14:paraId="2C05AA45" w14:textId="77777777" w:rsidR="00765B38" w:rsidRPr="009D507F" w:rsidRDefault="00765B38" w:rsidP="009D507F">
      <w:pPr>
        <w:pStyle w:val="ListParagraph"/>
        <w:numPr>
          <w:ilvl w:val="0"/>
          <w:numId w:val="4"/>
        </w:numPr>
        <w:tabs>
          <w:tab w:val="left" w:pos="720"/>
        </w:tabs>
        <w:ind w:left="720" w:right="720"/>
        <w:jc w:val="both"/>
        <w:rPr>
          <w:sz w:val="24"/>
          <w:szCs w:val="24"/>
        </w:rPr>
      </w:pPr>
      <w:r w:rsidRPr="009D507F">
        <w:rPr>
          <w:b/>
          <w:bCs/>
          <w:sz w:val="24"/>
          <w:szCs w:val="24"/>
        </w:rPr>
        <w:t xml:space="preserve">Discovery Conferences. </w:t>
      </w:r>
      <w:r w:rsidRPr="009D507F">
        <w:rPr>
          <w:sz w:val="24"/>
          <w:szCs w:val="24"/>
        </w:rPr>
        <w:t xml:space="preserve"> </w:t>
      </w:r>
      <w:r w:rsidRPr="009D507F">
        <w:rPr>
          <w:sz w:val="24"/>
          <w:szCs w:val="24"/>
          <w:u w:val="single"/>
        </w:rPr>
        <w:t>Within 72 hours of the Court setting any discovery motion for hearing, each party’s lead trial counsel and local counsel shall meet and confer in person or by telephone in an effort to resolve the dispute without Court intervention.  Counsel shall promptly notify the Court of the results of the meeting.  Attendance by proxy is not permitted.  Unless excused by the Court, lead counsel shall attend any discovery hearing set by the Court.</w:t>
      </w:r>
    </w:p>
    <w:p w14:paraId="7061E245" w14:textId="77777777" w:rsidR="00765B38" w:rsidRDefault="00765B38" w:rsidP="00765B38">
      <w:pPr>
        <w:numPr>
          <w:ilvl w:val="12"/>
          <w:numId w:val="0"/>
        </w:numPr>
        <w:jc w:val="both"/>
        <w:rPr>
          <w:sz w:val="24"/>
          <w:szCs w:val="24"/>
        </w:rPr>
      </w:pPr>
    </w:p>
    <w:p w14:paraId="76325CA9" w14:textId="77777777" w:rsidR="00765B38" w:rsidRDefault="00765B38" w:rsidP="00765B38">
      <w:pPr>
        <w:numPr>
          <w:ilvl w:val="12"/>
          <w:numId w:val="0"/>
        </w:numPr>
        <w:jc w:val="both"/>
        <w:rPr>
          <w:sz w:val="24"/>
          <w:szCs w:val="24"/>
        </w:rPr>
      </w:pPr>
    </w:p>
    <w:p w14:paraId="0519B94F" w14:textId="77777777" w:rsidR="009C503A" w:rsidRDefault="009C503A"/>
    <w:sectPr w:rsidR="009C503A" w:rsidSect="00446C6F">
      <w:headerReference w:type="default" r:id="rId8"/>
      <w:type w:val="continuous"/>
      <w:pgSz w:w="12240" w:h="15840"/>
      <w:pgMar w:top="1879"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46AFC" w14:textId="77777777" w:rsidR="00DA78A1" w:rsidRDefault="00DA78A1" w:rsidP="00765B38">
      <w:r>
        <w:separator/>
      </w:r>
    </w:p>
  </w:endnote>
  <w:endnote w:type="continuationSeparator" w:id="0">
    <w:p w14:paraId="662B25CB" w14:textId="77777777" w:rsidR="00DA78A1" w:rsidRDefault="00DA78A1" w:rsidP="0076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C5ACD" w14:textId="77777777" w:rsidR="00DA78A1" w:rsidRDefault="00DA78A1" w:rsidP="00765B38">
      <w:r>
        <w:separator/>
      </w:r>
    </w:p>
  </w:footnote>
  <w:footnote w:type="continuationSeparator" w:id="0">
    <w:p w14:paraId="2F203B6C" w14:textId="77777777" w:rsidR="00DA78A1" w:rsidRDefault="00DA78A1" w:rsidP="00765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7681E" w14:textId="77777777" w:rsidR="0083255F" w:rsidRDefault="0083255F">
    <w:pPr>
      <w:jc w:val="right"/>
      <w:rPr>
        <w:sz w:val="24"/>
        <w:szCs w:val="24"/>
      </w:rPr>
    </w:pPr>
    <w:r>
      <w:rPr>
        <w:sz w:val="24"/>
        <w:szCs w:val="24"/>
      </w:rPr>
      <w:t>1.29.16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05F9A7D6111E4098AE5B909855C67D91"/>
      </w:placeholder>
      <w:temporary/>
      <w:showingPlcHdr/>
    </w:sdtPr>
    <w:sdtEndPr/>
    <w:sdtContent>
      <w:p w14:paraId="69A04A05" w14:textId="77777777" w:rsidR="0083255F" w:rsidRDefault="0083255F">
        <w:pPr>
          <w:pStyle w:val="Header"/>
        </w:pPr>
        <w:r>
          <w:t>[Type text]</w:t>
        </w:r>
      </w:p>
    </w:sdtContent>
  </w:sdt>
  <w:p w14:paraId="45449714" w14:textId="77777777" w:rsidR="0083255F" w:rsidRDefault="0083255F">
    <w:pP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06EB0"/>
    <w:multiLevelType w:val="hybridMultilevel"/>
    <w:tmpl w:val="6360CA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9720FF7"/>
    <w:multiLevelType w:val="multilevel"/>
    <w:tmpl w:val="555866D2"/>
    <w:lvl w:ilvl="0">
      <w:start w:val="8"/>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2" w15:restartNumberingAfterBreak="0">
    <w:nsid w:val="46E87C74"/>
    <w:multiLevelType w:val="multilevel"/>
    <w:tmpl w:val="F0547E90"/>
    <w:lvl w:ilvl="0">
      <w:start w:val="8"/>
      <w:numFmt w:val="decimal"/>
      <w:lvlText w:val="%1."/>
      <w:legacy w:legacy="1" w:legacySpace="0" w:legacyIndent="0"/>
      <w:lvlJc w:val="left"/>
      <w:rPr>
        <w:b w:val="0"/>
      </w:rPr>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3" w15:restartNumberingAfterBreak="0">
    <w:nsid w:val="5D955CB2"/>
    <w:multiLevelType w:val="multilevel"/>
    <w:tmpl w:val="C548F2DC"/>
    <w:lvl w:ilvl="0">
      <w:start w:val="3"/>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B38"/>
    <w:rsid w:val="001D72BE"/>
    <w:rsid w:val="003517C1"/>
    <w:rsid w:val="00382E6E"/>
    <w:rsid w:val="003B0566"/>
    <w:rsid w:val="00446C6F"/>
    <w:rsid w:val="00634E65"/>
    <w:rsid w:val="006F4A38"/>
    <w:rsid w:val="00765B38"/>
    <w:rsid w:val="0083255F"/>
    <w:rsid w:val="009A1E2D"/>
    <w:rsid w:val="009C503A"/>
    <w:rsid w:val="009D507F"/>
    <w:rsid w:val="00B50435"/>
    <w:rsid w:val="00BA75B4"/>
    <w:rsid w:val="00C75AF1"/>
    <w:rsid w:val="00DA78A1"/>
    <w:rsid w:val="00DC2118"/>
    <w:rsid w:val="00E9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4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B3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765B38"/>
    <w:pPr>
      <w:autoSpaceDE w:val="0"/>
      <w:autoSpaceDN w:val="0"/>
      <w:adjustRightInd w:val="0"/>
      <w:spacing w:after="0" w:line="240" w:lineRule="auto"/>
      <w:ind w:left="720"/>
    </w:pPr>
    <w:rPr>
      <w:rFonts w:ascii="Times New Roman" w:hAnsi="Times New Roman" w:cs="Times New Roman"/>
      <w:sz w:val="24"/>
      <w:szCs w:val="24"/>
    </w:rPr>
  </w:style>
  <w:style w:type="paragraph" w:styleId="Header">
    <w:name w:val="header"/>
    <w:basedOn w:val="Normal"/>
    <w:link w:val="HeaderChar"/>
    <w:uiPriority w:val="99"/>
    <w:unhideWhenUsed/>
    <w:rsid w:val="003517C1"/>
    <w:pPr>
      <w:tabs>
        <w:tab w:val="center" w:pos="4680"/>
        <w:tab w:val="right" w:pos="9360"/>
      </w:tabs>
    </w:pPr>
  </w:style>
  <w:style w:type="character" w:customStyle="1" w:styleId="HeaderChar">
    <w:name w:val="Header Char"/>
    <w:basedOn w:val="DefaultParagraphFont"/>
    <w:link w:val="Header"/>
    <w:uiPriority w:val="99"/>
    <w:rsid w:val="003517C1"/>
    <w:rPr>
      <w:rFonts w:ascii="Times New Roman" w:hAnsi="Times New Roman" w:cs="Times New Roman"/>
      <w:sz w:val="20"/>
      <w:szCs w:val="20"/>
    </w:rPr>
  </w:style>
  <w:style w:type="paragraph" w:styleId="Footer">
    <w:name w:val="footer"/>
    <w:basedOn w:val="Normal"/>
    <w:link w:val="FooterChar"/>
    <w:uiPriority w:val="99"/>
    <w:unhideWhenUsed/>
    <w:rsid w:val="003517C1"/>
    <w:pPr>
      <w:tabs>
        <w:tab w:val="center" w:pos="4680"/>
        <w:tab w:val="right" w:pos="9360"/>
      </w:tabs>
    </w:pPr>
  </w:style>
  <w:style w:type="character" w:customStyle="1" w:styleId="FooterChar">
    <w:name w:val="Footer Char"/>
    <w:basedOn w:val="DefaultParagraphFont"/>
    <w:link w:val="Footer"/>
    <w:uiPriority w:val="99"/>
    <w:rsid w:val="003517C1"/>
    <w:rPr>
      <w:rFonts w:ascii="Times New Roman" w:hAnsi="Times New Roman" w:cs="Times New Roman"/>
      <w:sz w:val="20"/>
      <w:szCs w:val="20"/>
    </w:rPr>
  </w:style>
  <w:style w:type="paragraph" w:styleId="ListParagraph">
    <w:name w:val="List Paragraph"/>
    <w:basedOn w:val="Normal"/>
    <w:uiPriority w:val="34"/>
    <w:qFormat/>
    <w:rsid w:val="009D5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5F9A7D6111E4098AE5B909855C67D91"/>
        <w:category>
          <w:name w:val="General"/>
          <w:gallery w:val="placeholder"/>
        </w:category>
        <w:types>
          <w:type w:val="bbPlcHdr"/>
        </w:types>
        <w:behaviors>
          <w:behavior w:val="content"/>
        </w:behaviors>
        <w:guid w:val="{66044989-C29D-4DE0-BF7E-8BB6CEC3CCAF}"/>
      </w:docPartPr>
      <w:docPartBody>
        <w:p w:rsidR="008B3252" w:rsidRDefault="008B3252" w:rsidP="008B3252">
          <w:pPr>
            <w:pStyle w:val="05F9A7D6111E4098AE5B909855C67D9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252"/>
    <w:rsid w:val="00551566"/>
    <w:rsid w:val="008B3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F9A7D6111E4098AE5B909855C67D91">
    <w:name w:val="05F9A7D6111E4098AE5B909855C67D91"/>
    <w:rsid w:val="008B3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2021-09-23T18:15:00Z</dcterms:created>
  <dcterms:modified xsi:type="dcterms:W3CDTF">2021-09-23T18:15:00Z</dcterms:modified>
</cp:coreProperties>
</file>