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652F0" w14:textId="77777777" w:rsidR="005048C9" w:rsidRDefault="005048C9" w:rsidP="005048C9">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6F58B8FF" w14:textId="77777777" w:rsidR="005048C9" w:rsidRDefault="005048C9" w:rsidP="005048C9">
      <w:pPr>
        <w:jc w:val="center"/>
        <w:rPr>
          <w:b/>
          <w:bCs/>
          <w:sz w:val="24"/>
          <w:szCs w:val="24"/>
        </w:rPr>
      </w:pPr>
      <w:r>
        <w:rPr>
          <w:b/>
          <w:bCs/>
          <w:sz w:val="24"/>
          <w:szCs w:val="24"/>
        </w:rPr>
        <w:t>FOR THE EASTERN DISTRICT OF TEXAS</w:t>
      </w:r>
    </w:p>
    <w:p w14:paraId="39BDF98F" w14:textId="77777777" w:rsidR="005048C9" w:rsidRDefault="005048C9" w:rsidP="005048C9">
      <w:pPr>
        <w:jc w:val="center"/>
        <w:rPr>
          <w:b/>
          <w:bCs/>
          <w:sz w:val="24"/>
          <w:szCs w:val="24"/>
        </w:rPr>
      </w:pPr>
      <w:r>
        <w:rPr>
          <w:b/>
          <w:bCs/>
          <w:sz w:val="24"/>
          <w:szCs w:val="24"/>
        </w:rPr>
        <w:t>TYLER DIVISION</w:t>
      </w:r>
    </w:p>
    <w:p w14:paraId="481BC495" w14:textId="77777777" w:rsidR="005048C9" w:rsidRDefault="005048C9" w:rsidP="005048C9">
      <w:pPr>
        <w:jc w:val="both"/>
        <w:rPr>
          <w:b/>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5048C9" w14:paraId="1A65BA87" w14:textId="77777777" w:rsidTr="00AE149C">
        <w:trPr>
          <w:cantSplit/>
        </w:trPr>
        <w:tc>
          <w:tcPr>
            <w:tcW w:w="5112" w:type="dxa"/>
            <w:tcBorders>
              <w:top w:val="nil"/>
              <w:left w:val="nil"/>
              <w:bottom w:val="nil"/>
              <w:right w:val="nil"/>
            </w:tcBorders>
          </w:tcPr>
          <w:p w14:paraId="6C51559A" w14:textId="69675FBF" w:rsidR="005048C9" w:rsidRDefault="00191CCF" w:rsidP="00AE149C">
            <w:pPr>
              <w:tabs>
                <w:tab w:val="right" w:pos="4992"/>
              </w:tabs>
              <w:spacing w:before="120"/>
              <w:rPr>
                <w:b/>
                <w:bCs/>
                <w:sz w:val="24"/>
                <w:szCs w:val="24"/>
              </w:rPr>
            </w:pPr>
            <w:r w:rsidRPr="00191CCF">
              <w:rPr>
                <w:b/>
                <w:bCs/>
                <w:sz w:val="24"/>
                <w:szCs w:val="24"/>
              </w:rPr>
              <w:t>,</w:t>
            </w:r>
            <w:r w:rsidR="005048C9">
              <w:rPr>
                <w:b/>
                <w:bCs/>
                <w:sz w:val="24"/>
                <w:szCs w:val="24"/>
              </w:rPr>
              <w:tab/>
            </w:r>
          </w:p>
          <w:p w14:paraId="074DEE1C" w14:textId="77777777" w:rsidR="005048C9" w:rsidRDefault="005048C9" w:rsidP="00AE149C">
            <w:pPr>
              <w:tabs>
                <w:tab w:val="right" w:pos="4992"/>
              </w:tabs>
              <w:rPr>
                <w:b/>
                <w:bCs/>
                <w:sz w:val="24"/>
                <w:szCs w:val="24"/>
              </w:rPr>
            </w:pPr>
            <w:r>
              <w:rPr>
                <w:b/>
                <w:bCs/>
                <w:sz w:val="24"/>
                <w:szCs w:val="24"/>
              </w:rPr>
              <w:tab/>
            </w:r>
          </w:p>
          <w:p w14:paraId="53B450B5" w14:textId="1AA4927B" w:rsidR="005048C9" w:rsidRDefault="005048C9" w:rsidP="00AE149C">
            <w:pPr>
              <w:tabs>
                <w:tab w:val="left" w:pos="720"/>
                <w:tab w:val="right" w:pos="4992"/>
              </w:tabs>
              <w:rPr>
                <w:b/>
                <w:bCs/>
                <w:sz w:val="24"/>
                <w:szCs w:val="24"/>
              </w:rPr>
            </w:pPr>
            <w:r>
              <w:rPr>
                <w:b/>
                <w:bCs/>
                <w:sz w:val="24"/>
                <w:szCs w:val="24"/>
              </w:rPr>
              <w:tab/>
              <w:t>Plaintiff</w:t>
            </w:r>
            <w:r w:rsidR="00191CCF">
              <w:rPr>
                <w:b/>
                <w:bCs/>
                <w:sz w:val="24"/>
                <w:szCs w:val="24"/>
              </w:rPr>
              <w:t>,</w:t>
            </w:r>
            <w:r>
              <w:rPr>
                <w:b/>
                <w:bCs/>
                <w:sz w:val="24"/>
                <w:szCs w:val="24"/>
              </w:rPr>
              <w:tab/>
            </w:r>
          </w:p>
          <w:p w14:paraId="478913DC" w14:textId="77777777" w:rsidR="005048C9" w:rsidRDefault="005048C9" w:rsidP="00AE149C">
            <w:pPr>
              <w:tabs>
                <w:tab w:val="right" w:pos="4992"/>
              </w:tabs>
              <w:rPr>
                <w:b/>
                <w:bCs/>
                <w:sz w:val="24"/>
                <w:szCs w:val="24"/>
              </w:rPr>
            </w:pPr>
            <w:r>
              <w:rPr>
                <w:b/>
                <w:bCs/>
                <w:sz w:val="24"/>
                <w:szCs w:val="24"/>
              </w:rPr>
              <w:tab/>
            </w:r>
          </w:p>
          <w:p w14:paraId="70CBAC2C" w14:textId="77777777" w:rsidR="005048C9" w:rsidRDefault="005048C9" w:rsidP="00AE149C">
            <w:pPr>
              <w:tabs>
                <w:tab w:val="right" w:pos="4992"/>
              </w:tabs>
              <w:rPr>
                <w:b/>
                <w:bCs/>
                <w:sz w:val="24"/>
                <w:szCs w:val="24"/>
              </w:rPr>
            </w:pPr>
            <w:r>
              <w:rPr>
                <w:b/>
                <w:bCs/>
                <w:sz w:val="24"/>
                <w:szCs w:val="24"/>
              </w:rPr>
              <w:t>v.</w:t>
            </w:r>
            <w:r>
              <w:rPr>
                <w:b/>
                <w:bCs/>
                <w:sz w:val="24"/>
                <w:szCs w:val="24"/>
              </w:rPr>
              <w:tab/>
            </w:r>
          </w:p>
          <w:p w14:paraId="5098F83D" w14:textId="77777777" w:rsidR="005048C9" w:rsidRDefault="005048C9" w:rsidP="00AE149C">
            <w:pPr>
              <w:tabs>
                <w:tab w:val="right" w:pos="4992"/>
              </w:tabs>
              <w:rPr>
                <w:b/>
                <w:bCs/>
                <w:sz w:val="24"/>
                <w:szCs w:val="24"/>
              </w:rPr>
            </w:pPr>
            <w:r>
              <w:rPr>
                <w:b/>
                <w:bCs/>
                <w:sz w:val="24"/>
                <w:szCs w:val="24"/>
              </w:rPr>
              <w:tab/>
            </w:r>
          </w:p>
          <w:p w14:paraId="1778175A" w14:textId="3DD11F25" w:rsidR="005048C9" w:rsidRDefault="00191CCF" w:rsidP="00AE149C">
            <w:pPr>
              <w:tabs>
                <w:tab w:val="right" w:pos="4992"/>
              </w:tabs>
              <w:rPr>
                <w:b/>
                <w:bCs/>
                <w:sz w:val="24"/>
                <w:szCs w:val="24"/>
              </w:rPr>
            </w:pPr>
            <w:r w:rsidRPr="00191CCF">
              <w:rPr>
                <w:b/>
                <w:bCs/>
                <w:sz w:val="24"/>
                <w:szCs w:val="24"/>
              </w:rPr>
              <w:t>,</w:t>
            </w:r>
            <w:r w:rsidR="005048C9">
              <w:rPr>
                <w:b/>
                <w:bCs/>
                <w:sz w:val="24"/>
                <w:szCs w:val="24"/>
              </w:rPr>
              <w:tab/>
            </w:r>
          </w:p>
          <w:p w14:paraId="75248D57" w14:textId="77777777" w:rsidR="005048C9" w:rsidRDefault="005048C9" w:rsidP="00AE149C">
            <w:pPr>
              <w:tabs>
                <w:tab w:val="right" w:pos="4992"/>
              </w:tabs>
              <w:rPr>
                <w:b/>
                <w:bCs/>
                <w:sz w:val="24"/>
                <w:szCs w:val="24"/>
              </w:rPr>
            </w:pPr>
            <w:r>
              <w:rPr>
                <w:b/>
                <w:bCs/>
                <w:sz w:val="24"/>
                <w:szCs w:val="24"/>
              </w:rPr>
              <w:tab/>
            </w:r>
          </w:p>
          <w:p w14:paraId="164F44E9" w14:textId="79597892" w:rsidR="005048C9" w:rsidRDefault="005048C9" w:rsidP="00AE149C">
            <w:pPr>
              <w:tabs>
                <w:tab w:val="left" w:pos="720"/>
                <w:tab w:val="right" w:pos="4992"/>
              </w:tabs>
              <w:rPr>
                <w:b/>
                <w:bCs/>
                <w:sz w:val="24"/>
                <w:szCs w:val="24"/>
              </w:rPr>
            </w:pPr>
            <w:r>
              <w:rPr>
                <w:b/>
                <w:bCs/>
                <w:sz w:val="24"/>
                <w:szCs w:val="24"/>
              </w:rPr>
              <w:tab/>
              <w:t>Defendant</w:t>
            </w:r>
            <w:r w:rsidR="00191CCF">
              <w:rPr>
                <w:b/>
                <w:bCs/>
                <w:sz w:val="24"/>
                <w:szCs w:val="24"/>
              </w:rPr>
              <w:t>.</w:t>
            </w:r>
            <w:r>
              <w:rPr>
                <w:b/>
                <w:bCs/>
                <w:sz w:val="24"/>
                <w:szCs w:val="24"/>
              </w:rPr>
              <w:tab/>
            </w:r>
          </w:p>
          <w:p w14:paraId="7A134D52" w14:textId="77777777" w:rsidR="005048C9" w:rsidRDefault="005048C9" w:rsidP="00AE149C">
            <w:pPr>
              <w:spacing w:after="57"/>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5112" w:type="dxa"/>
            <w:tcBorders>
              <w:top w:val="nil"/>
              <w:left w:val="nil"/>
              <w:bottom w:val="nil"/>
              <w:right w:val="nil"/>
            </w:tcBorders>
          </w:tcPr>
          <w:p w14:paraId="518A4936" w14:textId="77777777" w:rsidR="005048C9" w:rsidRDefault="005048C9" w:rsidP="00AE149C">
            <w:pPr>
              <w:spacing w:before="120"/>
              <w:rPr>
                <w:b/>
                <w:bCs/>
                <w:sz w:val="24"/>
                <w:szCs w:val="24"/>
              </w:rPr>
            </w:pPr>
            <w:r>
              <w:rPr>
                <w:b/>
                <w:bCs/>
                <w:sz w:val="24"/>
                <w:szCs w:val="24"/>
              </w:rPr>
              <w:t>§</w:t>
            </w:r>
          </w:p>
          <w:p w14:paraId="41277136" w14:textId="77777777" w:rsidR="005048C9" w:rsidRDefault="005048C9" w:rsidP="00AE149C">
            <w:pPr>
              <w:rPr>
                <w:b/>
                <w:bCs/>
                <w:sz w:val="24"/>
                <w:szCs w:val="24"/>
              </w:rPr>
            </w:pPr>
            <w:r>
              <w:rPr>
                <w:b/>
                <w:bCs/>
                <w:sz w:val="24"/>
                <w:szCs w:val="24"/>
              </w:rPr>
              <w:t>§</w:t>
            </w:r>
          </w:p>
          <w:p w14:paraId="212F013B" w14:textId="77777777" w:rsidR="005048C9" w:rsidRDefault="005048C9" w:rsidP="00AE149C">
            <w:pPr>
              <w:rPr>
                <w:b/>
                <w:bCs/>
                <w:sz w:val="24"/>
                <w:szCs w:val="24"/>
              </w:rPr>
            </w:pPr>
            <w:r>
              <w:rPr>
                <w:b/>
                <w:bCs/>
                <w:sz w:val="24"/>
                <w:szCs w:val="24"/>
              </w:rPr>
              <w:t>§</w:t>
            </w:r>
          </w:p>
          <w:p w14:paraId="234EFB65" w14:textId="77777777" w:rsidR="005048C9" w:rsidRDefault="005048C9" w:rsidP="00AE149C">
            <w:pPr>
              <w:rPr>
                <w:b/>
                <w:bCs/>
                <w:sz w:val="24"/>
                <w:szCs w:val="24"/>
              </w:rPr>
            </w:pPr>
            <w:r>
              <w:rPr>
                <w:b/>
                <w:bCs/>
                <w:sz w:val="24"/>
                <w:szCs w:val="24"/>
              </w:rPr>
              <w:t>§</w:t>
            </w:r>
          </w:p>
          <w:p w14:paraId="280F05B2" w14:textId="36942976" w:rsidR="005048C9" w:rsidRDefault="005048C9" w:rsidP="00AE149C">
            <w:pPr>
              <w:rPr>
                <w:b/>
                <w:bCs/>
                <w:sz w:val="24"/>
                <w:szCs w:val="24"/>
              </w:rPr>
            </w:pPr>
            <w:r>
              <w:rPr>
                <w:b/>
                <w:bCs/>
                <w:sz w:val="24"/>
                <w:szCs w:val="24"/>
              </w:rPr>
              <w:t>§</w:t>
            </w:r>
            <w:r>
              <w:rPr>
                <w:b/>
                <w:bCs/>
                <w:sz w:val="24"/>
                <w:szCs w:val="24"/>
              </w:rPr>
              <w:tab/>
            </w:r>
            <w:r w:rsidR="00191CCF" w:rsidRPr="00191CCF">
              <w:rPr>
                <w:b/>
                <w:bCs/>
                <w:sz w:val="24"/>
                <w:szCs w:val="24"/>
              </w:rPr>
              <w:t xml:space="preserve">Civil Case No.: </w:t>
            </w:r>
          </w:p>
          <w:p w14:paraId="635A3363" w14:textId="104EB874" w:rsidR="005048C9" w:rsidRDefault="005048C9" w:rsidP="00AE149C">
            <w:pPr>
              <w:rPr>
                <w:b/>
                <w:bCs/>
                <w:sz w:val="24"/>
                <w:szCs w:val="24"/>
              </w:rPr>
            </w:pPr>
            <w:r>
              <w:rPr>
                <w:b/>
                <w:bCs/>
                <w:sz w:val="24"/>
                <w:szCs w:val="24"/>
              </w:rPr>
              <w:t>§</w:t>
            </w:r>
            <w:r>
              <w:rPr>
                <w:b/>
                <w:bCs/>
                <w:sz w:val="24"/>
                <w:szCs w:val="24"/>
              </w:rPr>
              <w:tab/>
            </w:r>
          </w:p>
          <w:p w14:paraId="16723FE0" w14:textId="77777777" w:rsidR="005048C9" w:rsidRDefault="005048C9" w:rsidP="00AE149C">
            <w:pPr>
              <w:rPr>
                <w:b/>
                <w:bCs/>
                <w:sz w:val="24"/>
                <w:szCs w:val="24"/>
              </w:rPr>
            </w:pPr>
            <w:r>
              <w:rPr>
                <w:b/>
                <w:bCs/>
                <w:sz w:val="24"/>
                <w:szCs w:val="24"/>
              </w:rPr>
              <w:t>§</w:t>
            </w:r>
          </w:p>
          <w:p w14:paraId="38091EDC" w14:textId="77777777" w:rsidR="005048C9" w:rsidRDefault="005048C9" w:rsidP="00AE149C">
            <w:pPr>
              <w:rPr>
                <w:b/>
                <w:bCs/>
                <w:sz w:val="24"/>
                <w:szCs w:val="24"/>
              </w:rPr>
            </w:pPr>
            <w:r>
              <w:rPr>
                <w:b/>
                <w:bCs/>
                <w:sz w:val="24"/>
                <w:szCs w:val="24"/>
              </w:rPr>
              <w:t>§</w:t>
            </w:r>
          </w:p>
          <w:p w14:paraId="50F1B763" w14:textId="77777777" w:rsidR="005048C9" w:rsidRDefault="005048C9" w:rsidP="00AE149C">
            <w:pPr>
              <w:rPr>
                <w:b/>
                <w:bCs/>
                <w:sz w:val="24"/>
                <w:szCs w:val="24"/>
              </w:rPr>
            </w:pPr>
            <w:r>
              <w:rPr>
                <w:b/>
                <w:bCs/>
                <w:sz w:val="24"/>
                <w:szCs w:val="24"/>
              </w:rPr>
              <w:t>§</w:t>
            </w:r>
          </w:p>
          <w:p w14:paraId="762D241A" w14:textId="77777777" w:rsidR="00191CCF" w:rsidRDefault="005048C9" w:rsidP="00AE149C">
            <w:pPr>
              <w:spacing w:after="57"/>
              <w:rPr>
                <w:b/>
                <w:bCs/>
                <w:sz w:val="24"/>
                <w:szCs w:val="24"/>
              </w:rPr>
            </w:pPr>
            <w:r>
              <w:rPr>
                <w:b/>
                <w:bCs/>
                <w:sz w:val="24"/>
                <w:szCs w:val="24"/>
              </w:rPr>
              <w:t>§</w:t>
            </w:r>
          </w:p>
          <w:p w14:paraId="64152628" w14:textId="3CCEEA83" w:rsidR="005048C9" w:rsidRDefault="00191CCF" w:rsidP="00AE149C">
            <w:pPr>
              <w:spacing w:after="57"/>
              <w:rPr>
                <w:sz w:val="24"/>
                <w:szCs w:val="24"/>
              </w:rPr>
            </w:pPr>
            <w:r>
              <w:rPr>
                <w:b/>
                <w:bCs/>
                <w:sz w:val="24"/>
                <w:szCs w:val="24"/>
              </w:rPr>
              <w:t>§</w:t>
            </w:r>
          </w:p>
        </w:tc>
      </w:tr>
    </w:tbl>
    <w:p w14:paraId="7756950D" w14:textId="77777777" w:rsidR="005048C9" w:rsidRPr="00963DE6" w:rsidRDefault="005048C9" w:rsidP="005048C9">
      <w:pPr>
        <w:jc w:val="center"/>
        <w:rPr>
          <w:sz w:val="24"/>
          <w:szCs w:val="24"/>
          <w:u w:val="single"/>
        </w:rPr>
      </w:pPr>
      <w:r w:rsidRPr="00963DE6">
        <w:rPr>
          <w:b/>
          <w:bCs/>
          <w:sz w:val="24"/>
          <w:szCs w:val="24"/>
          <w:u w:val="single"/>
        </w:rPr>
        <w:t>DISCOVERY ORDER</w:t>
      </w:r>
    </w:p>
    <w:p w14:paraId="4FA0FA00" w14:textId="77777777" w:rsidR="005048C9" w:rsidRDefault="005048C9" w:rsidP="005048C9">
      <w:pPr>
        <w:jc w:val="both"/>
        <w:rPr>
          <w:sz w:val="24"/>
          <w:szCs w:val="24"/>
        </w:rPr>
      </w:pPr>
    </w:p>
    <w:p w14:paraId="6DA3A997" w14:textId="6D077738" w:rsidR="005048C9" w:rsidRDefault="005048C9" w:rsidP="005048C9">
      <w:pPr>
        <w:jc w:val="both"/>
        <w:rPr>
          <w:sz w:val="24"/>
          <w:szCs w:val="24"/>
        </w:rPr>
      </w:pPr>
      <w:r>
        <w:rPr>
          <w:sz w:val="24"/>
          <w:szCs w:val="24"/>
        </w:rPr>
        <w:tab/>
        <w:t xml:space="preserve">After review of </w:t>
      </w:r>
      <w:r w:rsidR="0057323E">
        <w:rPr>
          <w:sz w:val="24"/>
          <w:szCs w:val="24"/>
        </w:rPr>
        <w:t xml:space="preserve">the pleaded claims and defenses </w:t>
      </w:r>
      <w:r>
        <w:rPr>
          <w:sz w:val="24"/>
          <w:szCs w:val="24"/>
        </w:rPr>
        <w:t>in this action</w:t>
      </w:r>
      <w:r w:rsidR="002F6AE0">
        <w:rPr>
          <w:sz w:val="24"/>
          <w:szCs w:val="24"/>
        </w:rPr>
        <w:t xml:space="preserve"> </w:t>
      </w:r>
      <w:r>
        <w:rPr>
          <w:sz w:val="24"/>
          <w:szCs w:val="24"/>
        </w:rPr>
        <w:t>and in furtherance of the management of the Court’s docket under Fed. R. Civ. P. 16, the Court enters the following Discovery Order:</w:t>
      </w:r>
    </w:p>
    <w:p w14:paraId="3AADECA8" w14:textId="77777777" w:rsidR="005048C9" w:rsidRDefault="005048C9" w:rsidP="005048C9">
      <w:pPr>
        <w:numPr>
          <w:ilvl w:val="12"/>
          <w:numId w:val="0"/>
        </w:numPr>
        <w:tabs>
          <w:tab w:val="left" w:pos="720"/>
          <w:tab w:val="left" w:pos="1440"/>
          <w:tab w:val="left" w:pos="2160"/>
        </w:tabs>
        <w:jc w:val="both"/>
        <w:rPr>
          <w:sz w:val="24"/>
          <w:szCs w:val="24"/>
        </w:rPr>
        <w:sectPr w:rsidR="005048C9" w:rsidSect="002F6AE0">
          <w:footerReference w:type="default" r:id="rId7"/>
          <w:pgSz w:w="12240" w:h="15840"/>
          <w:pgMar w:top="1440" w:right="1440" w:bottom="1440" w:left="1440" w:header="1440" w:footer="1440" w:gutter="0"/>
          <w:cols w:space="720"/>
          <w:noEndnote/>
        </w:sectPr>
      </w:pPr>
    </w:p>
    <w:p w14:paraId="3D5CCAF7" w14:textId="77777777" w:rsidR="005048C9" w:rsidRDefault="005048C9" w:rsidP="005048C9">
      <w:pPr>
        <w:numPr>
          <w:ilvl w:val="12"/>
          <w:numId w:val="0"/>
        </w:numPr>
        <w:jc w:val="both"/>
        <w:rPr>
          <w:sz w:val="24"/>
          <w:szCs w:val="24"/>
        </w:rPr>
      </w:pPr>
    </w:p>
    <w:p w14:paraId="1EC6A0E9" w14:textId="5DAEE73F" w:rsidR="005370E2" w:rsidRDefault="005370E2" w:rsidP="005370E2">
      <w:pPr>
        <w:pStyle w:val="ListParagraph"/>
        <w:numPr>
          <w:ilvl w:val="0"/>
          <w:numId w:val="4"/>
        </w:numPr>
        <w:tabs>
          <w:tab w:val="left" w:pos="720"/>
        </w:tabs>
        <w:ind w:left="720" w:right="720"/>
        <w:jc w:val="both"/>
        <w:rPr>
          <w:sz w:val="24"/>
          <w:szCs w:val="24"/>
        </w:rPr>
      </w:pPr>
      <w:r w:rsidRPr="005370E2">
        <w:rPr>
          <w:b/>
          <w:bCs/>
          <w:sz w:val="24"/>
          <w:szCs w:val="24"/>
        </w:rPr>
        <w:t xml:space="preserve">Discovery Limitations. </w:t>
      </w:r>
      <w:r w:rsidRPr="005370E2">
        <w:rPr>
          <w:sz w:val="24"/>
          <w:szCs w:val="24"/>
        </w:rPr>
        <w:t xml:space="preserve"> Discovery is limited to the disclosures set forth in the Court’s Order Governing Proceedings, together with twenty-five (25) interrogatories and twenty-five (25) requests for admissions per party.  Also permitted are the depositions of the parties, depositions on written questions of custodians of business records for third parties, and depositions of each party’s expert witnesses.  However, the total number of depositions for all witnesses, not including 30(b)(6) depositions, is limited to ten (10) per side. “Side” means a party or a group of p</w:t>
      </w:r>
      <w:r w:rsidR="00F20155">
        <w:rPr>
          <w:sz w:val="24"/>
          <w:szCs w:val="24"/>
        </w:rPr>
        <w:t xml:space="preserve">arties with a common interest. </w:t>
      </w:r>
      <w:r w:rsidRPr="005370E2">
        <w:rPr>
          <w:sz w:val="24"/>
          <w:szCs w:val="24"/>
        </w:rPr>
        <w:t>Any party may move to modify these limitations for good cause.</w:t>
      </w:r>
      <w:r w:rsidR="00F20155">
        <w:rPr>
          <w:sz w:val="24"/>
          <w:szCs w:val="24"/>
        </w:rPr>
        <w:t xml:space="preserve"> </w:t>
      </w:r>
      <w:r w:rsidRPr="005370E2">
        <w:rPr>
          <w:sz w:val="24"/>
          <w:szCs w:val="24"/>
        </w:rPr>
        <w:t xml:space="preserve">Any deposition shall be limited to one (1) day and a maximum of seven (7) hours.  30(b)(6) depositions are limited to a total of thirty-five (35) hours, with no limitation as to the number of witnesses or the topics covered. </w:t>
      </w:r>
    </w:p>
    <w:p w14:paraId="3BD41233" w14:textId="77777777" w:rsidR="005370E2" w:rsidRPr="005370E2" w:rsidRDefault="005370E2" w:rsidP="005370E2">
      <w:pPr>
        <w:tabs>
          <w:tab w:val="left" w:pos="720"/>
        </w:tabs>
        <w:ind w:left="360" w:right="720"/>
        <w:jc w:val="both"/>
        <w:rPr>
          <w:sz w:val="24"/>
          <w:szCs w:val="24"/>
        </w:rPr>
      </w:pPr>
    </w:p>
    <w:p w14:paraId="098C0A93" w14:textId="19EA4371" w:rsidR="005370E2" w:rsidRDefault="005370E2" w:rsidP="005370E2">
      <w:pPr>
        <w:pStyle w:val="ListParagraph"/>
        <w:numPr>
          <w:ilvl w:val="0"/>
          <w:numId w:val="4"/>
        </w:numPr>
        <w:tabs>
          <w:tab w:val="left" w:pos="720"/>
        </w:tabs>
        <w:ind w:left="720" w:right="720"/>
        <w:jc w:val="both"/>
        <w:rPr>
          <w:sz w:val="24"/>
          <w:szCs w:val="24"/>
        </w:rPr>
      </w:pPr>
      <w:r w:rsidRPr="006D0667">
        <w:rPr>
          <w:b/>
          <w:sz w:val="24"/>
          <w:szCs w:val="24"/>
        </w:rPr>
        <w:t>Additional Disclosures.</w:t>
      </w:r>
      <w:r w:rsidRPr="006D0667">
        <w:rPr>
          <w:sz w:val="24"/>
          <w:szCs w:val="24"/>
        </w:rPr>
        <w:t xml:space="preserve"> To the extent not already disclosed under this </w:t>
      </w:r>
      <w:r>
        <w:rPr>
          <w:sz w:val="24"/>
          <w:szCs w:val="24"/>
        </w:rPr>
        <w:t xml:space="preserve">Order, the Court’s </w:t>
      </w:r>
      <w:r w:rsidRPr="006D0667">
        <w:rPr>
          <w:sz w:val="24"/>
          <w:szCs w:val="24"/>
        </w:rPr>
        <w:t xml:space="preserve">Order </w:t>
      </w:r>
      <w:r>
        <w:rPr>
          <w:sz w:val="24"/>
          <w:szCs w:val="24"/>
        </w:rPr>
        <w:t xml:space="preserve">Governing Proceedings, </w:t>
      </w:r>
      <w:r w:rsidRPr="006D0667">
        <w:rPr>
          <w:sz w:val="24"/>
          <w:szCs w:val="24"/>
        </w:rPr>
        <w:t>or as required by the Federal Rules of Civil Procedure, and without awaiting a discovery request, each party shall provide to every other party a copy of all documents, data compilations</w:t>
      </w:r>
      <w:r w:rsidR="00F20155">
        <w:rPr>
          <w:sz w:val="24"/>
          <w:szCs w:val="24"/>
        </w:rPr>
        <w:t>,</w:t>
      </w:r>
      <w:r w:rsidRPr="006D0667">
        <w:rPr>
          <w:sz w:val="24"/>
          <w:szCs w:val="24"/>
        </w:rPr>
        <w:t xml:space="preserve"> and tangible things in the possession, custody, or control of the party that are relevant to all pleaded claims or defenses involved in this action.  Parties shall refer to Local Rule CV-26(d) in compliance with these disclosures. </w:t>
      </w:r>
    </w:p>
    <w:p w14:paraId="5C7E6139" w14:textId="77777777" w:rsidR="005370E2" w:rsidRPr="006D0667" w:rsidRDefault="005370E2" w:rsidP="005370E2">
      <w:pPr>
        <w:tabs>
          <w:tab w:val="left" w:pos="720"/>
        </w:tabs>
        <w:ind w:left="360" w:right="720"/>
        <w:jc w:val="both"/>
        <w:rPr>
          <w:sz w:val="24"/>
          <w:szCs w:val="24"/>
        </w:rPr>
      </w:pPr>
    </w:p>
    <w:p w14:paraId="7764ADE8" w14:textId="77777777" w:rsidR="005370E2" w:rsidRDefault="005370E2" w:rsidP="005370E2">
      <w:pPr>
        <w:pStyle w:val="ListParagraph"/>
        <w:numPr>
          <w:ilvl w:val="0"/>
          <w:numId w:val="4"/>
        </w:numPr>
        <w:tabs>
          <w:tab w:val="left" w:pos="720"/>
        </w:tabs>
        <w:ind w:left="720" w:right="720"/>
        <w:jc w:val="both"/>
        <w:rPr>
          <w:sz w:val="24"/>
          <w:szCs w:val="24"/>
        </w:rPr>
      </w:pPr>
      <w:r w:rsidRPr="006D0667">
        <w:rPr>
          <w:b/>
          <w:sz w:val="24"/>
          <w:szCs w:val="24"/>
        </w:rPr>
        <w:t>Ongoing Duty to Supplement.</w:t>
      </w:r>
      <w:r w:rsidRPr="006D0667">
        <w:rPr>
          <w:sz w:val="24"/>
          <w:szCs w:val="24"/>
        </w:rPr>
        <w:t xml:space="preserve">  After discl</w:t>
      </w:r>
      <w:r>
        <w:rPr>
          <w:sz w:val="24"/>
          <w:szCs w:val="24"/>
        </w:rPr>
        <w:t>osure is made pursuant to this O</w:t>
      </w:r>
      <w:r w:rsidRPr="006D0667">
        <w:rPr>
          <w:sz w:val="24"/>
          <w:szCs w:val="24"/>
        </w:rPr>
        <w:t>rder</w:t>
      </w:r>
      <w:r>
        <w:rPr>
          <w:sz w:val="24"/>
          <w:szCs w:val="24"/>
        </w:rPr>
        <w:t xml:space="preserve"> or the Court’s Order Governing Proceedings</w:t>
      </w:r>
      <w:r w:rsidRPr="006D0667">
        <w:rPr>
          <w:sz w:val="24"/>
          <w:szCs w:val="24"/>
        </w:rPr>
        <w:t xml:space="preserve">, each party is under a duty to </w:t>
      </w:r>
      <w:r w:rsidRPr="006D0667">
        <w:rPr>
          <w:sz w:val="24"/>
          <w:szCs w:val="24"/>
        </w:rPr>
        <w:lastRenderedPageBreak/>
        <w:t xml:space="preserve">supplement or correct its disclosures immediately if the party obtains information on the basis of which it knows that the information disclosed was either incomplete or incorrect when </w:t>
      </w:r>
      <w:proofErr w:type="gramStart"/>
      <w:r w:rsidRPr="006D0667">
        <w:rPr>
          <w:sz w:val="24"/>
          <w:szCs w:val="24"/>
        </w:rPr>
        <w:t>made, or</w:t>
      </w:r>
      <w:proofErr w:type="gramEnd"/>
      <w:r w:rsidRPr="006D0667">
        <w:rPr>
          <w:sz w:val="24"/>
          <w:szCs w:val="24"/>
        </w:rPr>
        <w:t xml:space="preserve"> is no longer complete or true.</w:t>
      </w:r>
      <w:r w:rsidRPr="006A25F6">
        <w:rPr>
          <w:sz w:val="24"/>
          <w:szCs w:val="24"/>
        </w:rPr>
        <w:t xml:space="preserve"> </w:t>
      </w:r>
    </w:p>
    <w:p w14:paraId="6C709431" w14:textId="77777777" w:rsidR="005370E2" w:rsidRPr="001D5DD7" w:rsidRDefault="005370E2" w:rsidP="005370E2">
      <w:pPr>
        <w:pStyle w:val="ListParagraph"/>
        <w:rPr>
          <w:b/>
          <w:bCs/>
          <w:sz w:val="24"/>
          <w:szCs w:val="24"/>
        </w:rPr>
      </w:pPr>
    </w:p>
    <w:p w14:paraId="2D4E327E" w14:textId="77777777" w:rsidR="005370E2" w:rsidRDefault="005370E2" w:rsidP="005370E2">
      <w:pPr>
        <w:pStyle w:val="ListParagraph"/>
        <w:numPr>
          <w:ilvl w:val="0"/>
          <w:numId w:val="4"/>
        </w:numPr>
        <w:tabs>
          <w:tab w:val="left" w:pos="720"/>
        </w:tabs>
        <w:ind w:left="720" w:right="720"/>
        <w:jc w:val="both"/>
        <w:rPr>
          <w:sz w:val="24"/>
          <w:szCs w:val="24"/>
        </w:rPr>
      </w:pPr>
      <w:r w:rsidRPr="00390C0A">
        <w:rPr>
          <w:b/>
          <w:bCs/>
          <w:sz w:val="24"/>
          <w:szCs w:val="24"/>
        </w:rPr>
        <w:t xml:space="preserve">Electronically Stored Information (“ESI”). </w:t>
      </w:r>
      <w:r w:rsidRPr="00390C0A">
        <w:rPr>
          <w:bCs/>
          <w:sz w:val="24"/>
          <w:szCs w:val="24"/>
        </w:rPr>
        <w:t xml:space="preserve">The parties agree that alternative forms of disclosure may be provided in lieu of paper copies. For example, the parties may exchange images of documents electronically or by means of computer disk; or the parties may agree to review and copy disclosure materials at the offices of the attorneys representing the parties instead of requiring each side to furnish paper copies of the disclosure materials. Electronic discovery shall be produced to the requesting party in a commercially reasonable manner or in the manner kept in the regular course of business, whichever is less burdensome and economical for the producing party. If a party requests documents that are stored in an electronic format, the disclosing party may provide the requesting party printed copies of the </w:t>
      </w:r>
      <w:r w:rsidRPr="00390C0A">
        <w:rPr>
          <w:sz w:val="24"/>
          <w:szCs w:val="24"/>
        </w:rPr>
        <w:t xml:space="preserve">documents or may provide the requesting party electronic copies of the documents in a reasonably usable form on CD, DVD, hard drive, by e-mail, or by other electronic means. </w:t>
      </w:r>
    </w:p>
    <w:p w14:paraId="41B7A384" w14:textId="77777777" w:rsidR="005370E2" w:rsidRPr="005370E2" w:rsidRDefault="005370E2" w:rsidP="005370E2">
      <w:pPr>
        <w:tabs>
          <w:tab w:val="left" w:pos="720"/>
        </w:tabs>
        <w:ind w:left="360" w:right="720"/>
        <w:jc w:val="both"/>
        <w:rPr>
          <w:sz w:val="24"/>
          <w:szCs w:val="24"/>
        </w:rPr>
      </w:pPr>
    </w:p>
    <w:p w14:paraId="36257D84" w14:textId="03C2349D" w:rsidR="00F20155" w:rsidRPr="00F20155" w:rsidRDefault="005F7DE2" w:rsidP="001D5DD7">
      <w:pPr>
        <w:pStyle w:val="ListParagraph"/>
        <w:numPr>
          <w:ilvl w:val="0"/>
          <w:numId w:val="4"/>
        </w:numPr>
        <w:tabs>
          <w:tab w:val="left" w:pos="720"/>
        </w:tabs>
        <w:ind w:left="720" w:right="720"/>
        <w:jc w:val="both"/>
        <w:rPr>
          <w:sz w:val="24"/>
          <w:szCs w:val="24"/>
        </w:rPr>
      </w:pPr>
      <w:r w:rsidRPr="00F20155">
        <w:rPr>
          <w:b/>
          <w:bCs/>
          <w:sz w:val="24"/>
          <w:szCs w:val="24"/>
        </w:rPr>
        <w:t>Discovery Disputes</w:t>
      </w:r>
      <w:r w:rsidR="00AC737E" w:rsidRPr="00F20155">
        <w:rPr>
          <w:b/>
          <w:bCs/>
          <w:sz w:val="24"/>
          <w:szCs w:val="24"/>
        </w:rPr>
        <w:t>.</w:t>
      </w:r>
      <w:r w:rsidR="00F20155" w:rsidRPr="00F20155">
        <w:rPr>
          <w:b/>
          <w:bCs/>
          <w:sz w:val="24"/>
          <w:szCs w:val="24"/>
        </w:rPr>
        <w:t xml:space="preserve"> </w:t>
      </w:r>
      <w:r w:rsidR="00F20155" w:rsidRPr="00F20155">
        <w:rPr>
          <w:sz w:val="24"/>
          <w:szCs w:val="24"/>
        </w:rPr>
        <w:t xml:space="preserve">In the event the parties encounter a discovery dispute, no motions to compel may be filed absent leave of the Court.  If the parties are unable to resolve the dispute without court intervention, the parties must then call the Court’s chambers to schedule a telephone conference regarding the subject matter of the dispute prior to filing any motion to compel.  After reviewing the dispute, the Court will resolve the dispute or order the parties to file an appropriate motion. </w:t>
      </w:r>
    </w:p>
    <w:p w14:paraId="40424F53" w14:textId="77777777" w:rsidR="00F20155" w:rsidRDefault="00F20155" w:rsidP="001D5DD7">
      <w:pPr>
        <w:tabs>
          <w:tab w:val="left" w:pos="720"/>
        </w:tabs>
        <w:ind w:left="720" w:right="720"/>
        <w:jc w:val="both"/>
        <w:rPr>
          <w:sz w:val="24"/>
          <w:szCs w:val="24"/>
        </w:rPr>
      </w:pPr>
    </w:p>
    <w:p w14:paraId="35640DBD" w14:textId="77777777" w:rsidR="00853541" w:rsidRDefault="00853541" w:rsidP="00853541">
      <w:pPr>
        <w:pStyle w:val="ListParagraph"/>
        <w:numPr>
          <w:ilvl w:val="0"/>
          <w:numId w:val="4"/>
        </w:numPr>
        <w:tabs>
          <w:tab w:val="left" w:pos="720"/>
        </w:tabs>
        <w:ind w:left="720" w:right="720"/>
        <w:jc w:val="both"/>
        <w:rPr>
          <w:sz w:val="24"/>
          <w:szCs w:val="24"/>
        </w:rPr>
      </w:pPr>
      <w:r w:rsidRPr="00853541">
        <w:rPr>
          <w:b/>
          <w:sz w:val="24"/>
          <w:szCs w:val="24"/>
        </w:rPr>
        <w:t>Privileged Information.</w:t>
      </w:r>
      <w:r w:rsidRPr="00853541">
        <w:rPr>
          <w:sz w:val="24"/>
          <w:szCs w:val="24"/>
        </w:rPr>
        <w:t xml:space="preserve"> There is no duty to disclose privileged documents or information. However, the parties are directed to meet and confer concerning privileged documents or information after the Scheduling Conference. Within sixty (60) days after the Scheduling Conference, the parties shall exchange privilege logs identifying the documents or information and the basis for any disputed claim of privilege in a manner that, without revealing information itself privileged or protected, will enable the other parties to assess the applicability of the privilege or protection. </w:t>
      </w:r>
    </w:p>
    <w:p w14:paraId="4EF37384" w14:textId="77777777" w:rsidR="00711FE2" w:rsidRPr="00711FE2" w:rsidRDefault="00711FE2" w:rsidP="00711FE2">
      <w:pPr>
        <w:pStyle w:val="ListParagraph"/>
        <w:rPr>
          <w:sz w:val="24"/>
          <w:szCs w:val="24"/>
        </w:rPr>
      </w:pPr>
    </w:p>
    <w:p w14:paraId="2AB28D6D" w14:textId="77777777" w:rsidR="006C6360" w:rsidRDefault="00B80C4A" w:rsidP="00855FF8">
      <w:pPr>
        <w:tabs>
          <w:tab w:val="left" w:pos="720"/>
        </w:tabs>
        <w:ind w:left="720" w:right="720"/>
        <w:jc w:val="both"/>
        <w:rPr>
          <w:sz w:val="24"/>
          <w:szCs w:val="24"/>
        </w:rPr>
      </w:pPr>
      <w:r>
        <w:rPr>
          <w:sz w:val="24"/>
          <w:szCs w:val="24"/>
        </w:rPr>
        <w:t xml:space="preserve">Any </w:t>
      </w:r>
      <w:r w:rsidR="00853541" w:rsidRPr="00853541">
        <w:rPr>
          <w:sz w:val="24"/>
          <w:szCs w:val="24"/>
        </w:rPr>
        <w:t xml:space="preserve">party </w:t>
      </w:r>
      <w:r>
        <w:rPr>
          <w:sz w:val="24"/>
          <w:szCs w:val="24"/>
        </w:rPr>
        <w:t>seeking</w:t>
      </w:r>
      <w:r w:rsidRPr="00853541">
        <w:rPr>
          <w:sz w:val="24"/>
          <w:szCs w:val="24"/>
        </w:rPr>
        <w:t xml:space="preserve"> production of any documents or information identified on </w:t>
      </w:r>
      <w:r>
        <w:rPr>
          <w:sz w:val="24"/>
          <w:szCs w:val="24"/>
        </w:rPr>
        <w:t>any other party’s privilege log</w:t>
      </w:r>
      <w:r w:rsidRPr="00853541">
        <w:rPr>
          <w:sz w:val="24"/>
          <w:szCs w:val="24"/>
        </w:rPr>
        <w:t xml:space="preserve"> </w:t>
      </w:r>
      <w:r w:rsidR="00853541" w:rsidRPr="00853541">
        <w:rPr>
          <w:sz w:val="24"/>
          <w:szCs w:val="24"/>
        </w:rPr>
        <w:t xml:space="preserve">may </w:t>
      </w:r>
      <w:r w:rsidRPr="00B80C4A">
        <w:rPr>
          <w:sz w:val="24"/>
          <w:szCs w:val="24"/>
        </w:rPr>
        <w:t xml:space="preserve">serve upon </w:t>
      </w:r>
      <w:r w:rsidRPr="00853541">
        <w:rPr>
          <w:sz w:val="24"/>
          <w:szCs w:val="24"/>
        </w:rPr>
        <w:t>the party asserting privilege</w:t>
      </w:r>
      <w:r w:rsidRPr="00B80C4A">
        <w:rPr>
          <w:sz w:val="24"/>
          <w:szCs w:val="24"/>
        </w:rPr>
        <w:t xml:space="preserve"> a written statement, in letter form or otherwise, of any reason why the </w:t>
      </w:r>
      <w:r>
        <w:rPr>
          <w:sz w:val="24"/>
          <w:szCs w:val="24"/>
        </w:rPr>
        <w:t xml:space="preserve">asserted privilege should be </w:t>
      </w:r>
      <w:proofErr w:type="spellStart"/>
      <w:proofErr w:type="gramStart"/>
      <w:r>
        <w:rPr>
          <w:sz w:val="24"/>
          <w:szCs w:val="24"/>
        </w:rPr>
        <w:t>challenged.</w:t>
      </w:r>
      <w:r w:rsidRPr="00B80C4A">
        <w:rPr>
          <w:sz w:val="24"/>
          <w:szCs w:val="24"/>
        </w:rPr>
        <w:t>The</w:t>
      </w:r>
      <w:proofErr w:type="spellEnd"/>
      <w:proofErr w:type="gramEnd"/>
      <w:r w:rsidRPr="00B80C4A">
        <w:rPr>
          <w:sz w:val="24"/>
          <w:szCs w:val="24"/>
        </w:rPr>
        <w:t xml:space="preserve"> written statement shall list, by category, the items the party </w:t>
      </w:r>
      <w:r w:rsidR="00517244">
        <w:rPr>
          <w:sz w:val="24"/>
          <w:szCs w:val="24"/>
        </w:rPr>
        <w:t xml:space="preserve">seeking production </w:t>
      </w:r>
      <w:r w:rsidRPr="00B80C4A">
        <w:rPr>
          <w:sz w:val="24"/>
          <w:szCs w:val="24"/>
        </w:rPr>
        <w:t xml:space="preserve">contends should be produced. The parties shall promptly meet and confer. </w:t>
      </w:r>
      <w:r w:rsidR="00517244" w:rsidRPr="005F7DE2">
        <w:rPr>
          <w:sz w:val="24"/>
          <w:szCs w:val="24"/>
        </w:rPr>
        <w:t xml:space="preserve">If the parties are unable to resolve their dispute, then within fourteen (14) days after service of the written statement </w:t>
      </w:r>
      <w:r w:rsidR="00526EDC">
        <w:rPr>
          <w:sz w:val="24"/>
          <w:szCs w:val="24"/>
        </w:rPr>
        <w:t xml:space="preserve">by the party seeking production, the parties shall </w:t>
      </w:r>
      <w:r w:rsidR="00517244" w:rsidRPr="00853541">
        <w:rPr>
          <w:sz w:val="24"/>
          <w:szCs w:val="24"/>
        </w:rPr>
        <w:t xml:space="preserve">file </w:t>
      </w:r>
      <w:r w:rsidR="00526EDC">
        <w:rPr>
          <w:sz w:val="24"/>
          <w:szCs w:val="24"/>
        </w:rPr>
        <w:t xml:space="preserve">a </w:t>
      </w:r>
      <w:r w:rsidR="006C6360">
        <w:rPr>
          <w:sz w:val="24"/>
          <w:szCs w:val="24"/>
        </w:rPr>
        <w:t xml:space="preserve">joint notice </w:t>
      </w:r>
      <w:r w:rsidR="00517244" w:rsidRPr="00853541">
        <w:rPr>
          <w:sz w:val="24"/>
          <w:szCs w:val="24"/>
        </w:rPr>
        <w:t>with the Court</w:t>
      </w:r>
      <w:r w:rsidR="006C6360">
        <w:rPr>
          <w:sz w:val="24"/>
          <w:szCs w:val="24"/>
        </w:rPr>
        <w:t xml:space="preserve"> briefly summarizing </w:t>
      </w:r>
      <w:r w:rsidR="006C6360">
        <w:rPr>
          <w:sz w:val="24"/>
          <w:szCs w:val="24"/>
        </w:rPr>
        <w:lastRenderedPageBreak/>
        <w:t xml:space="preserve">their respective arguments, along with </w:t>
      </w:r>
      <w:r w:rsidR="00517244" w:rsidRPr="00853541">
        <w:rPr>
          <w:sz w:val="24"/>
          <w:szCs w:val="24"/>
        </w:rPr>
        <w:t xml:space="preserve">any proof in the form of declarations or affidavits to support </w:t>
      </w:r>
      <w:r w:rsidR="006C6360">
        <w:rPr>
          <w:sz w:val="24"/>
          <w:szCs w:val="24"/>
        </w:rPr>
        <w:t>the</w:t>
      </w:r>
      <w:r w:rsidR="00517244" w:rsidRPr="00853541">
        <w:rPr>
          <w:sz w:val="24"/>
          <w:szCs w:val="24"/>
        </w:rPr>
        <w:t xml:space="preserve"> assertions of privilege</w:t>
      </w:r>
      <w:r w:rsidR="006C6360">
        <w:rPr>
          <w:sz w:val="24"/>
          <w:szCs w:val="24"/>
        </w:rPr>
        <w:t xml:space="preserve"> </w:t>
      </w:r>
      <w:r w:rsidR="006C6360" w:rsidRPr="006C6360">
        <w:rPr>
          <w:sz w:val="24"/>
          <w:szCs w:val="24"/>
          <w:u w:val="single"/>
        </w:rPr>
        <w:t>and</w:t>
      </w:r>
      <w:r w:rsidR="006C6360">
        <w:rPr>
          <w:sz w:val="24"/>
          <w:szCs w:val="24"/>
        </w:rPr>
        <w:t xml:space="preserve"> </w:t>
      </w:r>
      <w:r w:rsidR="00517244" w:rsidRPr="00853541">
        <w:rPr>
          <w:sz w:val="24"/>
          <w:szCs w:val="24"/>
        </w:rPr>
        <w:t xml:space="preserve">the documents over which privilege is asserted for </w:t>
      </w:r>
      <w:r w:rsidR="00517244" w:rsidRPr="00517244">
        <w:rPr>
          <w:i/>
          <w:sz w:val="24"/>
          <w:szCs w:val="24"/>
        </w:rPr>
        <w:t>in camera</w:t>
      </w:r>
      <w:r w:rsidR="006C6360">
        <w:rPr>
          <w:sz w:val="24"/>
          <w:szCs w:val="24"/>
        </w:rPr>
        <w:t xml:space="preserve"> inspection</w:t>
      </w:r>
      <w:r w:rsidRPr="00B80C4A">
        <w:rPr>
          <w:sz w:val="24"/>
          <w:szCs w:val="24"/>
        </w:rPr>
        <w:t>, after which the Court will set the matter for a conference.</w:t>
      </w:r>
    </w:p>
    <w:p w14:paraId="1A5FE777" w14:textId="77777777" w:rsidR="00B80C4A" w:rsidRDefault="00B80C4A" w:rsidP="00855FF8">
      <w:pPr>
        <w:tabs>
          <w:tab w:val="left" w:pos="720"/>
        </w:tabs>
        <w:ind w:left="720" w:right="720"/>
        <w:jc w:val="both"/>
        <w:rPr>
          <w:sz w:val="24"/>
          <w:szCs w:val="24"/>
        </w:rPr>
      </w:pPr>
    </w:p>
    <w:p w14:paraId="7E45A300" w14:textId="505557E6" w:rsidR="00853541" w:rsidRDefault="00853541" w:rsidP="00855FF8">
      <w:pPr>
        <w:tabs>
          <w:tab w:val="left" w:pos="720"/>
        </w:tabs>
        <w:ind w:left="720" w:right="720"/>
        <w:jc w:val="both"/>
        <w:rPr>
          <w:sz w:val="24"/>
          <w:szCs w:val="24"/>
        </w:rPr>
      </w:pPr>
      <w:r w:rsidRPr="00853541">
        <w:rPr>
          <w:sz w:val="24"/>
          <w:szCs w:val="24"/>
        </w:rPr>
        <w:t>If the parties have no disputes concerning privileged documents or information, then the parties shall inform the court of that fact within sixty (60) days after the Scheduling Conference.</w:t>
      </w:r>
      <w:r w:rsidR="00855FF8">
        <w:rPr>
          <w:sz w:val="24"/>
          <w:szCs w:val="24"/>
        </w:rPr>
        <w:t xml:space="preserve"> </w:t>
      </w:r>
      <w:r w:rsidR="00855FF8" w:rsidRPr="00855FF8">
        <w:rPr>
          <w:sz w:val="24"/>
          <w:szCs w:val="24"/>
        </w:rPr>
        <w:t>If a party inadvertently produces information that is subject to a claim of privilege,</w:t>
      </w:r>
      <w:r w:rsidR="00855FF8">
        <w:rPr>
          <w:sz w:val="24"/>
          <w:szCs w:val="24"/>
        </w:rPr>
        <w:t xml:space="preserve"> </w:t>
      </w:r>
      <w:r w:rsidR="00855FF8" w:rsidRPr="00855FF8">
        <w:rPr>
          <w:sz w:val="24"/>
          <w:szCs w:val="24"/>
        </w:rPr>
        <w:t>the parties agree to follow the procedure set forth in Federal Rule of Civil Procedure 26(b)(5)(B).</w:t>
      </w:r>
    </w:p>
    <w:p w14:paraId="73F18FF9" w14:textId="77777777" w:rsidR="00EE40CB" w:rsidRDefault="00EE40CB" w:rsidP="00855FF8">
      <w:pPr>
        <w:tabs>
          <w:tab w:val="left" w:pos="720"/>
        </w:tabs>
        <w:ind w:left="720" w:right="720"/>
        <w:jc w:val="both"/>
        <w:rPr>
          <w:sz w:val="24"/>
          <w:szCs w:val="24"/>
        </w:rPr>
      </w:pPr>
    </w:p>
    <w:p w14:paraId="152D307B" w14:textId="01A99D41" w:rsidR="00EE40CB" w:rsidRPr="00EE40CB" w:rsidRDefault="00EE40CB" w:rsidP="00855FF8">
      <w:pPr>
        <w:tabs>
          <w:tab w:val="left" w:pos="720"/>
        </w:tabs>
        <w:ind w:left="720" w:right="720"/>
        <w:jc w:val="both"/>
        <w:rPr>
          <w:b/>
          <w:sz w:val="24"/>
          <w:szCs w:val="24"/>
        </w:rPr>
      </w:pPr>
      <w:r w:rsidRPr="00EE40CB">
        <w:rPr>
          <w:b/>
          <w:sz w:val="24"/>
          <w:szCs w:val="24"/>
        </w:rPr>
        <w:t>It is SO ORDERED.</w:t>
      </w:r>
    </w:p>
    <w:p w14:paraId="50962D14" w14:textId="77777777" w:rsidR="002A32C9" w:rsidRPr="00E71E04" w:rsidRDefault="002A32C9" w:rsidP="00E71E04">
      <w:pPr>
        <w:tabs>
          <w:tab w:val="left" w:pos="720"/>
        </w:tabs>
        <w:ind w:right="720"/>
        <w:jc w:val="both"/>
        <w:rPr>
          <w:sz w:val="24"/>
          <w:szCs w:val="24"/>
        </w:rPr>
      </w:pPr>
    </w:p>
    <w:p w14:paraId="66D63093" w14:textId="77777777" w:rsidR="00765B38" w:rsidRDefault="00765B38" w:rsidP="00765B38">
      <w:pPr>
        <w:numPr>
          <w:ilvl w:val="12"/>
          <w:numId w:val="0"/>
        </w:numPr>
        <w:jc w:val="both"/>
        <w:rPr>
          <w:sz w:val="24"/>
          <w:szCs w:val="24"/>
        </w:rPr>
      </w:pPr>
    </w:p>
    <w:p w14:paraId="42125849" w14:textId="77777777" w:rsidR="00765B38" w:rsidRDefault="00765B38" w:rsidP="00765B38">
      <w:pPr>
        <w:numPr>
          <w:ilvl w:val="12"/>
          <w:numId w:val="0"/>
        </w:numPr>
        <w:jc w:val="both"/>
        <w:rPr>
          <w:sz w:val="24"/>
          <w:szCs w:val="24"/>
        </w:rPr>
      </w:pPr>
    </w:p>
    <w:p w14:paraId="54D1BD0A" w14:textId="77777777" w:rsidR="009C503A" w:rsidRDefault="009C503A"/>
    <w:sectPr w:rsidR="009C503A" w:rsidSect="00BE3100">
      <w:headerReference w:type="default" r:id="rId8"/>
      <w:type w:val="continuous"/>
      <w:pgSz w:w="12240" w:h="15840"/>
      <w:pgMar w:top="1879"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195A5" w14:textId="77777777" w:rsidR="005D33FF" w:rsidRDefault="005D33FF" w:rsidP="00765B38">
      <w:r>
        <w:separator/>
      </w:r>
    </w:p>
  </w:endnote>
  <w:endnote w:type="continuationSeparator" w:id="0">
    <w:p w14:paraId="2D8A7D13" w14:textId="77777777" w:rsidR="005D33FF" w:rsidRDefault="005D33FF" w:rsidP="007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37152"/>
      <w:docPartObj>
        <w:docPartGallery w:val="Page Numbers (Bottom of Page)"/>
        <w:docPartUnique/>
      </w:docPartObj>
    </w:sdtPr>
    <w:sdtEndPr>
      <w:rPr>
        <w:noProof/>
      </w:rPr>
    </w:sdtEndPr>
    <w:sdtContent>
      <w:p w14:paraId="409ADB41" w14:textId="3BBAB30A" w:rsidR="007F6234" w:rsidRDefault="007F6234">
        <w:pPr>
          <w:pStyle w:val="Footer"/>
          <w:jc w:val="center"/>
        </w:pPr>
        <w:r>
          <w:fldChar w:fldCharType="begin"/>
        </w:r>
        <w:r>
          <w:instrText xml:space="preserve"> PAGE   \* MERGEFORMAT </w:instrText>
        </w:r>
        <w:r>
          <w:fldChar w:fldCharType="separate"/>
        </w:r>
        <w:r w:rsidR="00F20155">
          <w:rPr>
            <w:noProof/>
          </w:rPr>
          <w:t>2</w:t>
        </w:r>
        <w:r>
          <w:rPr>
            <w:noProof/>
          </w:rPr>
          <w:fldChar w:fldCharType="end"/>
        </w:r>
      </w:p>
    </w:sdtContent>
  </w:sdt>
  <w:p w14:paraId="3A2FE193" w14:textId="77777777" w:rsidR="007F6234" w:rsidRDefault="007F6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69A6B" w14:textId="77777777" w:rsidR="005D33FF" w:rsidRDefault="005D33FF" w:rsidP="00765B38">
      <w:r>
        <w:separator/>
      </w:r>
    </w:p>
  </w:footnote>
  <w:footnote w:type="continuationSeparator" w:id="0">
    <w:p w14:paraId="42DEDB96" w14:textId="77777777" w:rsidR="005D33FF" w:rsidRDefault="005D33FF" w:rsidP="0076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B11F" w14:textId="77777777" w:rsidR="00BE3100" w:rsidRDefault="005D33FF">
    <w:pP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06EB0"/>
    <w:multiLevelType w:val="hybridMultilevel"/>
    <w:tmpl w:val="6360C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720FF7"/>
    <w:multiLevelType w:val="multilevel"/>
    <w:tmpl w:val="555866D2"/>
    <w:lvl w:ilvl="0">
      <w:start w:val="8"/>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46E87C74"/>
    <w:multiLevelType w:val="multilevel"/>
    <w:tmpl w:val="F0547E90"/>
    <w:lvl w:ilvl="0">
      <w:start w:val="8"/>
      <w:numFmt w:val="decimal"/>
      <w:lvlText w:val="%1."/>
      <w:legacy w:legacy="1" w:legacySpace="0" w:legacyIndent="0"/>
      <w:lvlJc w:val="left"/>
      <w:rPr>
        <w:b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5D955CB2"/>
    <w:multiLevelType w:val="multilevel"/>
    <w:tmpl w:val="C548F2DC"/>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B38"/>
    <w:rsid w:val="00030A86"/>
    <w:rsid w:val="000757E9"/>
    <w:rsid w:val="000F5CCC"/>
    <w:rsid w:val="00112EF8"/>
    <w:rsid w:val="00191CCF"/>
    <w:rsid w:val="001D5DD7"/>
    <w:rsid w:val="002A32C9"/>
    <w:rsid w:val="002F6AE0"/>
    <w:rsid w:val="0032119A"/>
    <w:rsid w:val="003251BA"/>
    <w:rsid w:val="003517C1"/>
    <w:rsid w:val="00390C0A"/>
    <w:rsid w:val="003A1F4B"/>
    <w:rsid w:val="003B0566"/>
    <w:rsid w:val="003D7070"/>
    <w:rsid w:val="005048C9"/>
    <w:rsid w:val="0051270F"/>
    <w:rsid w:val="00517244"/>
    <w:rsid w:val="00526EDC"/>
    <w:rsid w:val="005370E2"/>
    <w:rsid w:val="00567311"/>
    <w:rsid w:val="0057323E"/>
    <w:rsid w:val="005D33FF"/>
    <w:rsid w:val="005F7DE2"/>
    <w:rsid w:val="00634E65"/>
    <w:rsid w:val="006A25F6"/>
    <w:rsid w:val="006C6360"/>
    <w:rsid w:val="006D0667"/>
    <w:rsid w:val="00711FE2"/>
    <w:rsid w:val="00765B38"/>
    <w:rsid w:val="007F6234"/>
    <w:rsid w:val="00853541"/>
    <w:rsid w:val="00855FF8"/>
    <w:rsid w:val="00963DE6"/>
    <w:rsid w:val="009A1E2D"/>
    <w:rsid w:val="009C503A"/>
    <w:rsid w:val="00A50AD9"/>
    <w:rsid w:val="00A62A37"/>
    <w:rsid w:val="00AC737E"/>
    <w:rsid w:val="00B46139"/>
    <w:rsid w:val="00B50435"/>
    <w:rsid w:val="00B80C4A"/>
    <w:rsid w:val="00B86A5D"/>
    <w:rsid w:val="00BA75B4"/>
    <w:rsid w:val="00C365B0"/>
    <w:rsid w:val="00C75AF1"/>
    <w:rsid w:val="00C764E8"/>
    <w:rsid w:val="00DA0320"/>
    <w:rsid w:val="00DA101B"/>
    <w:rsid w:val="00DD59FA"/>
    <w:rsid w:val="00E641A8"/>
    <w:rsid w:val="00E71E04"/>
    <w:rsid w:val="00E90C0D"/>
    <w:rsid w:val="00EE40CB"/>
    <w:rsid w:val="00F20155"/>
    <w:rsid w:val="00F8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3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765B38"/>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3517C1"/>
    <w:pPr>
      <w:tabs>
        <w:tab w:val="center" w:pos="4680"/>
        <w:tab w:val="right" w:pos="9360"/>
      </w:tabs>
    </w:pPr>
  </w:style>
  <w:style w:type="character" w:customStyle="1" w:styleId="HeaderChar">
    <w:name w:val="Header Char"/>
    <w:basedOn w:val="DefaultParagraphFont"/>
    <w:link w:val="Header"/>
    <w:uiPriority w:val="99"/>
    <w:rsid w:val="003517C1"/>
    <w:rPr>
      <w:rFonts w:ascii="Times New Roman" w:hAnsi="Times New Roman" w:cs="Times New Roman"/>
      <w:sz w:val="20"/>
      <w:szCs w:val="20"/>
    </w:rPr>
  </w:style>
  <w:style w:type="paragraph" w:styleId="Footer">
    <w:name w:val="footer"/>
    <w:basedOn w:val="Normal"/>
    <w:link w:val="FooterChar"/>
    <w:uiPriority w:val="99"/>
    <w:unhideWhenUsed/>
    <w:rsid w:val="003517C1"/>
    <w:pPr>
      <w:tabs>
        <w:tab w:val="center" w:pos="4680"/>
        <w:tab w:val="right" w:pos="9360"/>
      </w:tabs>
    </w:pPr>
  </w:style>
  <w:style w:type="character" w:customStyle="1" w:styleId="FooterChar">
    <w:name w:val="Footer Char"/>
    <w:basedOn w:val="DefaultParagraphFont"/>
    <w:link w:val="Footer"/>
    <w:uiPriority w:val="99"/>
    <w:rsid w:val="003517C1"/>
    <w:rPr>
      <w:rFonts w:ascii="Times New Roman" w:hAnsi="Times New Roman" w:cs="Times New Roman"/>
      <w:sz w:val="20"/>
      <w:szCs w:val="20"/>
    </w:rPr>
  </w:style>
  <w:style w:type="paragraph" w:styleId="ListParagraph">
    <w:name w:val="List Paragraph"/>
    <w:basedOn w:val="Normal"/>
    <w:uiPriority w:val="34"/>
    <w:qFormat/>
    <w:rsid w:val="00504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2021-09-23T18:25:00Z</dcterms:created>
  <dcterms:modified xsi:type="dcterms:W3CDTF">2021-09-23T18:25:00Z</dcterms:modified>
</cp:coreProperties>
</file>