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498" w:rsidRPr="00430498" w:rsidRDefault="00975E3D" w:rsidP="00430498">
      <w:pPr>
        <w:autoSpaceDE w:val="0"/>
        <w:autoSpaceDN w:val="0"/>
        <w:adjustRightInd w:val="0"/>
        <w:jc w:val="center"/>
        <w:rPr>
          <w:rFonts w:eastAsia="Calibri" w:cs="Times New Roman"/>
          <w:b/>
          <w:bCs/>
          <w:szCs w:val="24"/>
        </w:rPr>
      </w:pPr>
      <w:r>
        <w:rPr>
          <w:rFonts w:eastAsia="Calibri" w:cs="Times New Roman"/>
          <w:b/>
          <w:bCs/>
          <w:szCs w:val="24"/>
        </w:rPr>
        <w:t>D</w:t>
      </w:r>
      <w:r w:rsidR="00430498" w:rsidRPr="00430498">
        <w:rPr>
          <w:rFonts w:eastAsia="Calibri" w:cs="Times New Roman"/>
          <w:b/>
          <w:bCs/>
          <w:szCs w:val="24"/>
        </w:rPr>
        <w:t>IN THE UNITED STATES DISTRICT COURT</w:t>
      </w:r>
    </w:p>
    <w:p w:rsidR="00430498" w:rsidRPr="00430498" w:rsidRDefault="00430498" w:rsidP="00430498">
      <w:pPr>
        <w:autoSpaceDE w:val="0"/>
        <w:autoSpaceDN w:val="0"/>
        <w:adjustRightInd w:val="0"/>
        <w:jc w:val="center"/>
        <w:rPr>
          <w:rFonts w:eastAsia="Calibri" w:cs="Times New Roman"/>
          <w:b/>
          <w:bCs/>
          <w:szCs w:val="24"/>
        </w:rPr>
      </w:pPr>
      <w:r w:rsidRPr="00430498">
        <w:rPr>
          <w:rFonts w:eastAsia="Calibri" w:cs="Times New Roman"/>
          <w:b/>
          <w:bCs/>
          <w:szCs w:val="24"/>
        </w:rPr>
        <w:t>FOR THE EASTERN DISTRICT OF TEXAS</w:t>
      </w:r>
    </w:p>
    <w:p w:rsidR="00430498" w:rsidRPr="00430498" w:rsidRDefault="00522517" w:rsidP="00430498">
      <w:pPr>
        <w:autoSpaceDE w:val="0"/>
        <w:autoSpaceDN w:val="0"/>
        <w:adjustRightInd w:val="0"/>
        <w:jc w:val="center"/>
        <w:rPr>
          <w:rFonts w:eastAsia="Calibri" w:cs="Times New Roman"/>
          <w:b/>
          <w:bCs/>
          <w:szCs w:val="24"/>
        </w:rPr>
      </w:pPr>
      <w:r>
        <w:rPr>
          <w:rFonts w:eastAsia="Calibri" w:cs="Times New Roman"/>
          <w:b/>
          <w:bCs/>
          <w:szCs w:val="24"/>
        </w:rPr>
        <w:t>TYLER</w:t>
      </w:r>
      <w:r w:rsidR="00430498" w:rsidRPr="00430498">
        <w:rPr>
          <w:rFonts w:eastAsia="Calibri" w:cs="Times New Roman"/>
          <w:b/>
          <w:bCs/>
          <w:szCs w:val="24"/>
        </w:rPr>
        <w:t xml:space="preserve"> DIVISION</w:t>
      </w:r>
    </w:p>
    <w:p w:rsidR="00430498" w:rsidRPr="00430498" w:rsidRDefault="00430498" w:rsidP="00430498">
      <w:pPr>
        <w:autoSpaceDE w:val="0"/>
        <w:autoSpaceDN w:val="0"/>
        <w:adjustRightInd w:val="0"/>
        <w:jc w:val="both"/>
        <w:rPr>
          <w:rFonts w:eastAsia="Calibri" w:cs="Times New Roman"/>
          <w:b/>
          <w:bCs/>
          <w:szCs w:val="24"/>
        </w:rPr>
      </w:pPr>
    </w:p>
    <w:tbl>
      <w:tblPr>
        <w:tblW w:w="0" w:type="auto"/>
        <w:tblInd w:w="120" w:type="dxa"/>
        <w:tblBorders>
          <w:insideH w:val="single" w:sz="4" w:space="0" w:color="auto"/>
        </w:tblBorders>
        <w:tblLayout w:type="fixed"/>
        <w:tblCellMar>
          <w:left w:w="120" w:type="dxa"/>
          <w:right w:w="120" w:type="dxa"/>
        </w:tblCellMar>
        <w:tblLook w:val="04A0" w:firstRow="1" w:lastRow="0" w:firstColumn="1" w:lastColumn="0" w:noHBand="0" w:noVBand="1"/>
      </w:tblPr>
      <w:tblGrid>
        <w:gridCol w:w="4410"/>
        <w:gridCol w:w="4950"/>
      </w:tblGrid>
      <w:tr w:rsidR="00430498" w:rsidRPr="00430498" w:rsidTr="00253578">
        <w:trPr>
          <w:cantSplit/>
          <w:trHeight w:val="2853"/>
        </w:trPr>
        <w:tc>
          <w:tcPr>
            <w:tcW w:w="4410" w:type="dxa"/>
            <w:hideMark/>
          </w:tcPr>
          <w:p w:rsidR="00430498" w:rsidRPr="00430498" w:rsidRDefault="00430498" w:rsidP="00430498">
            <w:pPr>
              <w:tabs>
                <w:tab w:val="right" w:pos="4290"/>
              </w:tabs>
              <w:autoSpaceDE w:val="0"/>
              <w:autoSpaceDN w:val="0"/>
              <w:adjustRightInd w:val="0"/>
              <w:spacing w:before="120" w:line="276" w:lineRule="auto"/>
              <w:rPr>
                <w:rFonts w:eastAsia="Calibri" w:cs="Times New Roman"/>
                <w:b/>
                <w:bCs/>
                <w:szCs w:val="24"/>
              </w:rPr>
            </w:pPr>
            <w:r w:rsidRPr="00430498">
              <w:rPr>
                <w:rFonts w:eastAsia="Calibri" w:cs="Times New Roman"/>
                <w:b/>
                <w:bCs/>
                <w:szCs w:val="24"/>
              </w:rPr>
              <w:t>[PLAINTIFF]</w:t>
            </w:r>
            <w:r w:rsidRPr="00430498">
              <w:rPr>
                <w:rFonts w:eastAsia="Calibri" w:cs="Times New Roman"/>
                <w:b/>
                <w:bCs/>
                <w:szCs w:val="24"/>
              </w:rPr>
              <w:tab/>
            </w:r>
          </w:p>
          <w:p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rsidR="00430498" w:rsidRPr="00430498" w:rsidRDefault="00430498" w:rsidP="00430498">
            <w:pPr>
              <w:tabs>
                <w:tab w:val="left" w:pos="720"/>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t>Plaintiff</w:t>
            </w:r>
            <w:r w:rsidRPr="00430498">
              <w:rPr>
                <w:rFonts w:eastAsia="Calibri" w:cs="Times New Roman"/>
                <w:b/>
                <w:bCs/>
                <w:szCs w:val="24"/>
              </w:rPr>
              <w:tab/>
            </w:r>
          </w:p>
          <w:p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vs.</w:t>
            </w:r>
            <w:r w:rsidRPr="00430498">
              <w:rPr>
                <w:rFonts w:eastAsia="Calibri" w:cs="Times New Roman"/>
                <w:b/>
                <w:bCs/>
                <w:szCs w:val="24"/>
              </w:rPr>
              <w:tab/>
            </w:r>
          </w:p>
          <w:p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[DEFENDANT][, et al.]</w:t>
            </w:r>
          </w:p>
          <w:p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rsidR="00430498" w:rsidRPr="00430498" w:rsidRDefault="00430498" w:rsidP="00430498">
            <w:pPr>
              <w:tabs>
                <w:tab w:val="left" w:pos="720"/>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t>Defendants.</w:t>
            </w:r>
            <w:r w:rsidRPr="00430498">
              <w:rPr>
                <w:rFonts w:eastAsia="Calibri" w:cs="Times New Roman"/>
                <w:b/>
                <w:bCs/>
                <w:szCs w:val="24"/>
              </w:rPr>
              <w:tab/>
            </w:r>
          </w:p>
          <w:p w:rsidR="00430498" w:rsidRPr="00430498" w:rsidRDefault="00430498" w:rsidP="00430498">
            <w:pPr>
              <w:autoSpaceDE w:val="0"/>
              <w:autoSpaceDN w:val="0"/>
              <w:adjustRightInd w:val="0"/>
              <w:spacing w:after="57" w:line="276" w:lineRule="auto"/>
              <w:rPr>
                <w:rFonts w:eastAsia="Calibri" w:cs="Times New Roman"/>
                <w:szCs w:val="24"/>
              </w:rPr>
            </w:pPr>
            <w:r w:rsidRPr="00430498">
              <w:rPr>
                <w:rFonts w:eastAsia="Calibri" w:cs="Times New Roman"/>
                <w:szCs w:val="24"/>
              </w:rPr>
              <w:tab/>
            </w:r>
            <w:r w:rsidRPr="00430498">
              <w:rPr>
                <w:rFonts w:eastAsia="Calibri" w:cs="Times New Roman"/>
                <w:szCs w:val="24"/>
              </w:rPr>
              <w:tab/>
            </w:r>
            <w:r w:rsidRPr="00430498">
              <w:rPr>
                <w:rFonts w:eastAsia="Calibri" w:cs="Times New Roman"/>
                <w:szCs w:val="24"/>
              </w:rPr>
              <w:tab/>
            </w:r>
            <w:r w:rsidRPr="00430498">
              <w:rPr>
                <w:rFonts w:eastAsia="Calibri" w:cs="Times New Roman"/>
                <w:szCs w:val="24"/>
              </w:rPr>
              <w:tab/>
            </w:r>
            <w:r w:rsidRPr="00430498">
              <w:rPr>
                <w:rFonts w:eastAsia="Calibri" w:cs="Times New Roman"/>
                <w:szCs w:val="24"/>
              </w:rPr>
              <w:tab/>
            </w:r>
          </w:p>
        </w:tc>
        <w:tc>
          <w:tcPr>
            <w:tcW w:w="4950" w:type="dxa"/>
          </w:tcPr>
          <w:p w:rsidR="00430498" w:rsidRPr="00430498" w:rsidRDefault="00430498" w:rsidP="00430498">
            <w:pPr>
              <w:autoSpaceDE w:val="0"/>
              <w:autoSpaceDN w:val="0"/>
              <w:adjustRightInd w:val="0"/>
              <w:spacing w:before="120"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r w:rsidRPr="00430498">
              <w:rPr>
                <w:rFonts w:eastAsia="Calibri" w:cs="Times New Roman"/>
                <w:b/>
                <w:bCs/>
                <w:szCs w:val="24"/>
              </w:rPr>
              <w:tab/>
              <w:t>CAUSE NO.  X:XX-CV-XXX</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r w:rsidRPr="00430498">
              <w:rPr>
                <w:rFonts w:eastAsia="Calibri" w:cs="Times New Roman"/>
                <w:b/>
                <w:bCs/>
                <w:szCs w:val="24"/>
              </w:rPr>
              <w:tab/>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rsidR="00430498" w:rsidRPr="00430498" w:rsidRDefault="00430498" w:rsidP="00430498">
            <w:pPr>
              <w:autoSpaceDE w:val="0"/>
              <w:autoSpaceDN w:val="0"/>
              <w:adjustRightInd w:val="0"/>
              <w:spacing w:line="276" w:lineRule="auto"/>
              <w:rPr>
                <w:rFonts w:eastAsia="Calibri" w:cs="Times New Roman"/>
                <w:szCs w:val="24"/>
              </w:rPr>
            </w:pPr>
          </w:p>
        </w:tc>
      </w:tr>
    </w:tbl>
    <w:p w:rsidR="00601874" w:rsidRDefault="00601874" w:rsidP="00B80579">
      <w:pPr>
        <w:jc w:val="center"/>
      </w:pPr>
      <w:bookmarkStart w:id="0" w:name="_GoBack"/>
      <w:bookmarkEnd w:id="0"/>
    </w:p>
    <w:p w:rsidR="00B80579" w:rsidRDefault="002A3F1E" w:rsidP="009E3801">
      <w:pPr>
        <w:pStyle w:val="Heading1"/>
        <w:rPr>
          <w:u w:val="single"/>
        </w:rPr>
      </w:pPr>
      <w:r>
        <w:t>SAMPLE</w:t>
      </w:r>
      <w:r w:rsidR="009E3801" w:rsidRPr="009E3801">
        <w:t xml:space="preserve"> </w:t>
      </w:r>
      <w:r w:rsidR="00235AD4">
        <w:t>DISCOVERY</w:t>
      </w:r>
      <w:r w:rsidR="00DB538A" w:rsidRPr="009E3801">
        <w:t xml:space="preserve"> ORDER</w:t>
      </w:r>
      <w:r w:rsidR="009E3801" w:rsidRPr="009E3801">
        <w:t xml:space="preserve"> FOR </w:t>
      </w:r>
      <w:r w:rsidR="009E3801">
        <w:t xml:space="preserve">PATENT </w:t>
      </w:r>
      <w:r w:rsidR="009E3801" w:rsidRPr="009E3801">
        <w:t>CASES</w:t>
      </w:r>
    </w:p>
    <w:p w:rsidR="004E1F1C" w:rsidRPr="00AD3CC6" w:rsidRDefault="00AD3CC6" w:rsidP="00AD3CC6">
      <w:pPr>
        <w:pStyle w:val="Text-DS"/>
        <w:ind w:firstLine="0"/>
      </w:pPr>
      <w:r>
        <w:t>[</w:t>
      </w:r>
      <w:r>
        <w:rPr>
          <w:i/>
        </w:rPr>
        <w:t xml:space="preserve">Instructions:  The parties are expected to meet and confer prior to </w:t>
      </w:r>
      <w:r w:rsidR="000A478A">
        <w:rPr>
          <w:i/>
        </w:rPr>
        <w:t xml:space="preserve">moving the Court to enter </w:t>
      </w:r>
      <w:r>
        <w:rPr>
          <w:i/>
        </w:rPr>
        <w:t xml:space="preserve">a proposed Discovery Order based upon this model order.  </w:t>
      </w:r>
      <w:r w:rsidR="000A478A">
        <w:rPr>
          <w:i/>
        </w:rPr>
        <w:t>T</w:t>
      </w:r>
      <w:r>
        <w:rPr>
          <w:i/>
        </w:rPr>
        <w:t xml:space="preserve">he </w:t>
      </w:r>
      <w:r w:rsidR="00EA3A99">
        <w:rPr>
          <w:i/>
        </w:rPr>
        <w:t>underlined portions</w:t>
      </w:r>
      <w:r w:rsidR="00686256">
        <w:rPr>
          <w:i/>
        </w:rPr>
        <w:t xml:space="preserve"> (in </w:t>
      </w:r>
      <w:r>
        <w:rPr>
          <w:i/>
        </w:rPr>
        <w:t>paragraph</w:t>
      </w:r>
      <w:r w:rsidR="00686256">
        <w:rPr>
          <w:i/>
        </w:rPr>
        <w:t>s</w:t>
      </w:r>
      <w:r>
        <w:rPr>
          <w:i/>
        </w:rPr>
        <w:t xml:space="preserve"> </w:t>
      </w:r>
      <w:r w:rsidR="001D63BA">
        <w:rPr>
          <w:i/>
        </w:rPr>
        <w:t>5</w:t>
      </w:r>
      <w:r>
        <w:rPr>
          <w:i/>
        </w:rPr>
        <w:t xml:space="preserve"> and 12</w:t>
      </w:r>
      <w:r w:rsidR="00686256">
        <w:rPr>
          <w:i/>
        </w:rPr>
        <w:t>)</w:t>
      </w:r>
      <w:r>
        <w:rPr>
          <w:i/>
        </w:rPr>
        <w:t xml:space="preserve"> may be modified by the parties according to the needs of the case</w:t>
      </w:r>
      <w:r w:rsidR="000A478A">
        <w:rPr>
          <w:i/>
        </w:rPr>
        <w:t xml:space="preserve"> without alerting the Court.  Any other modifications must be agreed and clearly emphasized in the motion to enter the proposed D</w:t>
      </w:r>
      <w:r w:rsidR="00430498">
        <w:rPr>
          <w:i/>
        </w:rPr>
        <w:t xml:space="preserve">iscovery </w:t>
      </w:r>
      <w:r w:rsidR="000A478A">
        <w:rPr>
          <w:i/>
        </w:rPr>
        <w:t>O</w:t>
      </w:r>
      <w:r w:rsidR="00430498">
        <w:rPr>
          <w:i/>
        </w:rPr>
        <w:t>rder</w:t>
      </w:r>
      <w:r w:rsidR="000A478A">
        <w:rPr>
          <w:i/>
        </w:rPr>
        <w:t>.</w:t>
      </w:r>
      <w:r>
        <w:t>]</w:t>
      </w:r>
    </w:p>
    <w:p w:rsidR="00DB538A" w:rsidRDefault="00235AD4" w:rsidP="00235AD4">
      <w:pPr>
        <w:pStyle w:val="Text-DS"/>
      </w:pPr>
      <w:r>
        <w:t>After a review of the pleaded claims and defenses in this action, in furtherance of the management of the Court’s docket under Federal Rule of Civil Procedure 16, and after receiving the input of the parties to this action, it is ORDERED AS FOLLOWS:</w:t>
      </w:r>
    </w:p>
    <w:p w:rsidR="00235AD4" w:rsidRDefault="00235AD4" w:rsidP="0047577B">
      <w:pPr>
        <w:pStyle w:val="Text-DS"/>
        <w:ind w:left="720" w:hanging="720"/>
      </w:pPr>
      <w:r w:rsidRPr="00235AD4">
        <w:rPr>
          <w:b/>
        </w:rPr>
        <w:t>1.</w:t>
      </w:r>
      <w:r w:rsidRPr="00235AD4">
        <w:rPr>
          <w:b/>
        </w:rPr>
        <w:tab/>
      </w:r>
      <w:r w:rsidR="00734924">
        <w:rPr>
          <w:b/>
        </w:rPr>
        <w:t xml:space="preserve">Initial </w:t>
      </w:r>
      <w:r w:rsidRPr="00235AD4">
        <w:rPr>
          <w:b/>
        </w:rPr>
        <w:t>Disclosures.</w:t>
      </w:r>
      <w:r>
        <w:t xml:space="preserve">  </w:t>
      </w:r>
      <w:r w:rsidR="00D30B9E">
        <w:t xml:space="preserve">In lieu of the </w:t>
      </w:r>
      <w:r w:rsidR="00722855">
        <w:t>disclosures required by</w:t>
      </w:r>
      <w:r w:rsidR="008225CA">
        <w:t xml:space="preserve"> </w:t>
      </w:r>
      <w:r w:rsidR="00D30B9E">
        <w:t>Federal Rule of Civil Procedure 26(a)(1)</w:t>
      </w:r>
      <w:r>
        <w:t>, each party shall disclose to every other party the following information:</w:t>
      </w:r>
    </w:p>
    <w:p w:rsidR="00235AD4" w:rsidRDefault="00235AD4" w:rsidP="00D30B9E">
      <w:pPr>
        <w:pStyle w:val="Text-DS"/>
        <w:ind w:left="1440" w:hanging="720"/>
      </w:pPr>
      <w:r>
        <w:t>(a)</w:t>
      </w:r>
      <w:r>
        <w:tab/>
        <w:t>the correct names of the parties to the lawsuit;</w:t>
      </w:r>
    </w:p>
    <w:p w:rsidR="00235AD4" w:rsidRDefault="00235AD4" w:rsidP="00D30B9E">
      <w:pPr>
        <w:pStyle w:val="Text-DS"/>
        <w:ind w:left="1440" w:hanging="720"/>
      </w:pPr>
      <w:r>
        <w:t>(b)</w:t>
      </w:r>
      <w:r>
        <w:tab/>
        <w:t>the name, address, and telephone number of any potential parties;</w:t>
      </w:r>
    </w:p>
    <w:p w:rsidR="00235AD4" w:rsidRDefault="00235AD4" w:rsidP="00D30B9E">
      <w:pPr>
        <w:pStyle w:val="Text-DS"/>
        <w:ind w:left="1440" w:hanging="720"/>
      </w:pPr>
      <w:r>
        <w:lastRenderedPageBreak/>
        <w:t>(c)</w:t>
      </w:r>
      <w:r>
        <w:tab/>
        <w:t>the legal theories and, in general, the factual bases of the disclosing party’s claims or defenses (the disclosing party need not marshal all evidence that may be offered at trial);</w:t>
      </w:r>
    </w:p>
    <w:p w:rsidR="00235AD4" w:rsidRDefault="00235AD4" w:rsidP="00D30B9E">
      <w:pPr>
        <w:pStyle w:val="Text-DS"/>
        <w:ind w:left="1440" w:hanging="720"/>
      </w:pPr>
      <w:r>
        <w:t>(d)</w:t>
      </w:r>
      <w:r>
        <w:tab/>
        <w:t>the name, address, and telephone number of persons having knowledge of relevant facts, a brief statement of each identified person’s connection with the case, and a brief, fair summary of the substance of the information known by any such person;</w:t>
      </w:r>
    </w:p>
    <w:p w:rsidR="00D30B9E" w:rsidRDefault="00235AD4" w:rsidP="00D30B9E">
      <w:pPr>
        <w:pStyle w:val="Text-DS"/>
        <w:ind w:left="1440" w:hanging="720"/>
      </w:pPr>
      <w:r>
        <w:t>(e)</w:t>
      </w:r>
      <w:r>
        <w:tab/>
        <w:t xml:space="preserve">any indemnity and insuring agreements under which any person or entity carrying on an insurance business may be liable to satisfy part or all of a judgment entered in this action or to indemnify or reimburse for payments made to satisfy the </w:t>
      </w:r>
      <w:r w:rsidR="00D30B9E">
        <w:t>judgment;</w:t>
      </w:r>
    </w:p>
    <w:p w:rsidR="00235AD4" w:rsidRDefault="00D30B9E" w:rsidP="00D30B9E">
      <w:pPr>
        <w:pStyle w:val="Text-DS"/>
        <w:ind w:left="1440" w:hanging="720"/>
      </w:pPr>
      <w:r>
        <w:t>(</w:t>
      </w:r>
      <w:r w:rsidR="00235AD4">
        <w:t>f)</w:t>
      </w:r>
      <w:r w:rsidR="00235AD4">
        <w:tab/>
        <w:t>any settlement agreements relevant to the subject matter of this action;</w:t>
      </w:r>
      <w:r w:rsidR="008225CA">
        <w:t xml:space="preserve"> and</w:t>
      </w:r>
    </w:p>
    <w:p w:rsidR="00235AD4" w:rsidRDefault="00235AD4" w:rsidP="00D30B9E">
      <w:pPr>
        <w:pStyle w:val="Text-DS"/>
        <w:ind w:left="1440" w:hanging="720"/>
      </w:pPr>
      <w:r>
        <w:t>(g)</w:t>
      </w:r>
      <w:r>
        <w:tab/>
        <w:t xml:space="preserve">any statement of any party </w:t>
      </w:r>
      <w:r w:rsidR="008225CA">
        <w:t>to the litigation.</w:t>
      </w:r>
    </w:p>
    <w:p w:rsidR="008225CA" w:rsidRDefault="008225CA" w:rsidP="008225CA">
      <w:pPr>
        <w:pStyle w:val="Text-DS"/>
        <w:ind w:left="720" w:hanging="720"/>
      </w:pPr>
      <w:r w:rsidRPr="008225CA">
        <w:rPr>
          <w:b/>
        </w:rPr>
        <w:t>2.</w:t>
      </w:r>
      <w:r w:rsidRPr="008225CA">
        <w:rPr>
          <w:b/>
        </w:rPr>
        <w:tab/>
      </w:r>
      <w:r>
        <w:rPr>
          <w:b/>
        </w:rPr>
        <w:t xml:space="preserve">Disclosure of </w:t>
      </w:r>
      <w:r w:rsidRPr="008225CA">
        <w:rPr>
          <w:b/>
        </w:rPr>
        <w:t xml:space="preserve">Expert </w:t>
      </w:r>
      <w:r>
        <w:rPr>
          <w:b/>
        </w:rPr>
        <w:t>Testimony</w:t>
      </w:r>
      <w:r w:rsidRPr="008225CA">
        <w:rPr>
          <w:b/>
        </w:rPr>
        <w:t>.</w:t>
      </w:r>
      <w:r>
        <w:t xml:space="preserve">  A party must disclose to the other parties the identity of any witness it may use at trial to present evidence under Federal Rule of Evidence 702, 703 or 705, and:</w:t>
      </w:r>
    </w:p>
    <w:p w:rsidR="008225CA" w:rsidRDefault="00235AD4" w:rsidP="00D30B9E">
      <w:pPr>
        <w:pStyle w:val="Text-DS"/>
        <w:ind w:left="1440" w:hanging="720"/>
      </w:pPr>
      <w:r>
        <w:t>(</w:t>
      </w:r>
      <w:r w:rsidR="008225CA">
        <w:t>a</w:t>
      </w:r>
      <w:r>
        <w:t>)</w:t>
      </w:r>
      <w:r>
        <w:tab/>
      </w:r>
      <w:r w:rsidR="008225CA">
        <w:t xml:space="preserve">if the witness is one retained or specially employed to provide expert testimony in the case or one whose duties as the party’s employee regularly involve giving expert testimony, </w:t>
      </w:r>
      <w:r w:rsidR="00250C59">
        <w:t xml:space="preserve">provide </w:t>
      </w:r>
      <w:r w:rsidR="008225CA">
        <w:t xml:space="preserve">the disclosures required by Federal Rule of Civil Procedure 26(a)(2)(B) and Local Rule CV-26; </w:t>
      </w:r>
      <w:r w:rsidR="00EA1021">
        <w:t>and</w:t>
      </w:r>
    </w:p>
    <w:p w:rsidR="008225CA" w:rsidRDefault="0047577B" w:rsidP="00D30B9E">
      <w:pPr>
        <w:pStyle w:val="Text-DS"/>
        <w:ind w:left="1440" w:hanging="720"/>
      </w:pPr>
      <w:r>
        <w:t>(b)</w:t>
      </w:r>
      <w:r>
        <w:tab/>
        <w:t xml:space="preserve">for all other such witnesses, </w:t>
      </w:r>
      <w:r w:rsidR="00250C59">
        <w:t xml:space="preserve">provide </w:t>
      </w:r>
      <w:r>
        <w:t>the disclosure required by Federal Rule of Civil Procedure 26(a)(2)(C).</w:t>
      </w:r>
    </w:p>
    <w:p w:rsidR="0047577B" w:rsidRDefault="0047577B" w:rsidP="0047577B">
      <w:pPr>
        <w:pStyle w:val="Text-DS"/>
        <w:ind w:left="720" w:hanging="720"/>
      </w:pPr>
      <w:r w:rsidRPr="0047577B">
        <w:rPr>
          <w:b/>
        </w:rPr>
        <w:lastRenderedPageBreak/>
        <w:t>3.</w:t>
      </w:r>
      <w:r w:rsidRPr="0047577B">
        <w:rPr>
          <w:b/>
        </w:rPr>
        <w:tab/>
        <w:t>Additional Disclosures.</w:t>
      </w:r>
      <w:r>
        <w:t xml:space="preserve">  </w:t>
      </w:r>
      <w:r w:rsidR="00250C59">
        <w:t>W</w:t>
      </w:r>
      <w:r>
        <w:t>ithout awaiting a discovery request,</w:t>
      </w:r>
      <w:r w:rsidR="00686256">
        <w:rPr>
          <w:rStyle w:val="FootnoteReference"/>
        </w:rPr>
        <w:footnoteReference w:id="1"/>
      </w:r>
      <w:r>
        <w:t xml:space="preserve"> </w:t>
      </w:r>
      <w:r w:rsidR="00250C59">
        <w:t>each party will make the following disclosures to every other party:</w:t>
      </w:r>
    </w:p>
    <w:p w:rsidR="0047577B" w:rsidRPr="005A7176" w:rsidRDefault="0047577B" w:rsidP="0047577B">
      <w:pPr>
        <w:pStyle w:val="Text-DS"/>
        <w:ind w:left="1440" w:hanging="720"/>
      </w:pPr>
      <w:r w:rsidRPr="005A7176">
        <w:t>(a)</w:t>
      </w:r>
      <w:r w:rsidRPr="005A7176">
        <w:tab/>
      </w:r>
      <w:r w:rsidR="00250C59" w:rsidRPr="005A7176">
        <w:t xml:space="preserve">provide </w:t>
      </w:r>
      <w:r w:rsidRPr="005A7176">
        <w:t>the disclosures required by the Patent Rules for the Eastern District of Texas</w:t>
      </w:r>
      <w:r w:rsidR="006E4B33" w:rsidRPr="005A7176">
        <w:t xml:space="preserve"> with the following modifications to P.R. 3-1 and P.R. 3-3:</w:t>
      </w:r>
    </w:p>
    <w:p w:rsidR="006E4B33" w:rsidRPr="005A7176" w:rsidRDefault="006E4B33" w:rsidP="006E4B33">
      <w:pPr>
        <w:pStyle w:val="Text-DS"/>
        <w:spacing w:after="240" w:line="240" w:lineRule="auto"/>
        <w:ind w:left="2160" w:right="720" w:hanging="720"/>
      </w:pPr>
      <w:r w:rsidRPr="005A7176">
        <w:tab/>
      </w:r>
      <w:r w:rsidRPr="005A7176">
        <w:rPr>
          <w:b/>
        </w:rPr>
        <w:t>P.R. 3-1(g)</w:t>
      </w:r>
      <w:r w:rsidRPr="005A7176">
        <w:t>: If a party claiming patent infringement asserts that a claim element is a software limitation, the party need not comply with P.R. 3-1 for those claim elements until 30 days after source code for each Accused Instrumentality is produced by the opposing party. Thereafter, the party claiming patent infringement shall identify, on an element-by-element basis for each asserted claim, what source code of each Accused Instrumentality allegedly satisfies the software limitations of the asserted claim elements.</w:t>
      </w:r>
    </w:p>
    <w:p w:rsidR="006E4B33" w:rsidRDefault="006E4B33" w:rsidP="006E4B33">
      <w:pPr>
        <w:pStyle w:val="Text-DS"/>
        <w:spacing w:after="240" w:line="240" w:lineRule="auto"/>
        <w:ind w:left="2160" w:right="720" w:hanging="720"/>
      </w:pPr>
      <w:r w:rsidRPr="005A7176">
        <w:tab/>
      </w:r>
      <w:r w:rsidRPr="005A7176">
        <w:rPr>
          <w:b/>
        </w:rPr>
        <w:t>P.R. 3-3(e)</w:t>
      </w:r>
      <w:r w:rsidRPr="005A7176">
        <w:t>: If a party claiming patent infringement exercises the provisions of P.R. 3-1(g), the party opposing a claim of patent infringement may serve, not later than 30 days after receipt of a P.R. 3-1(g) disclosure, supplemental “Invalidity Contentions” that amend only those claim elements identified as software limitations by the party claiming patent infringement.</w:t>
      </w:r>
    </w:p>
    <w:p w:rsidR="0047577B" w:rsidRDefault="0047577B" w:rsidP="0047577B">
      <w:pPr>
        <w:pStyle w:val="Text-DS"/>
        <w:ind w:left="1440" w:hanging="720"/>
      </w:pPr>
      <w:r>
        <w:t>(b)</w:t>
      </w:r>
      <w:r>
        <w:tab/>
      </w:r>
      <w:r w:rsidR="00250C59">
        <w:t xml:space="preserve">produce or permit the inspection </w:t>
      </w:r>
      <w:r>
        <w:t>of all documents, electronically stored information, and tangible things in the possession, custody, or control of the party that are relevant to the pleaded claims or defenses involved in this action, except to the extent these disclosures are affected by the time limits set forth in the Patent Rules for the Eastern District of Texas; and</w:t>
      </w:r>
    </w:p>
    <w:p w:rsidR="0047577B" w:rsidRDefault="0047577B" w:rsidP="0047577B">
      <w:pPr>
        <w:pStyle w:val="Text-DS"/>
        <w:ind w:left="1440" w:hanging="720"/>
      </w:pPr>
      <w:r>
        <w:t>(c)</w:t>
      </w:r>
      <w:r>
        <w:tab/>
      </w:r>
      <w:r w:rsidR="00250C59">
        <w:t xml:space="preserve">provide </w:t>
      </w:r>
      <w:r>
        <w:t>a complete computation of any category of damages cla</w:t>
      </w:r>
      <w:r w:rsidR="00EA1021">
        <w:t>imed by any party to the action,</w:t>
      </w:r>
      <w:r>
        <w:t xml:space="preserve"> </w:t>
      </w:r>
      <w:r w:rsidR="00EA1021">
        <w:t>and produce or permit the inspection of</w:t>
      </w:r>
      <w:r>
        <w:t xml:space="preserve"> documents or other </w:t>
      </w:r>
      <w:r w:rsidRPr="005A7176">
        <w:t>evidentiary material on which such computation is based, including materials bearing on the nature and extent of injurie</w:t>
      </w:r>
      <w:r w:rsidR="00766347" w:rsidRPr="005A7176">
        <w:t xml:space="preserve">s suffered, except that the disclosure of </w:t>
      </w:r>
      <w:r w:rsidR="00766347" w:rsidRPr="005A7176">
        <w:lastRenderedPageBreak/>
        <w:t>the computation of damages may be deferred</w:t>
      </w:r>
      <w:r w:rsidR="00F53F13" w:rsidRPr="005A7176">
        <w:t xml:space="preserve"> until the time for Expert Disclosures</w:t>
      </w:r>
      <w:r w:rsidR="00766347" w:rsidRPr="005A7176">
        <w:t xml:space="preserve"> if </w:t>
      </w:r>
      <w:r w:rsidR="00207185" w:rsidRPr="005A7176">
        <w:t>a</w:t>
      </w:r>
      <w:r w:rsidR="00766347" w:rsidRPr="005A7176">
        <w:t xml:space="preserve"> party will rely on</w:t>
      </w:r>
      <w:r w:rsidR="00F53F13" w:rsidRPr="005A7176">
        <w:t xml:space="preserve"> a damages expert.</w:t>
      </w:r>
    </w:p>
    <w:p w:rsidR="001D63BA" w:rsidRDefault="001D63BA" w:rsidP="001D63BA">
      <w:pPr>
        <w:pStyle w:val="Text-DS"/>
        <w:ind w:left="720" w:hanging="720"/>
      </w:pPr>
      <w:r w:rsidRPr="001D63BA">
        <w:rPr>
          <w:b/>
        </w:rPr>
        <w:t>4.</w:t>
      </w:r>
      <w:r w:rsidRPr="001D63BA">
        <w:rPr>
          <w:b/>
        </w:rPr>
        <w:tab/>
        <w:t>Protective Orders.</w:t>
      </w:r>
      <w:r>
        <w:t xml:space="preserve">  The Court will enter the parties’ Agreed Protective Order.</w:t>
      </w:r>
    </w:p>
    <w:p w:rsidR="00AC7BE7" w:rsidRDefault="001D63BA" w:rsidP="00AC7BE7">
      <w:pPr>
        <w:pStyle w:val="Text-DS"/>
        <w:ind w:left="720" w:hanging="720"/>
      </w:pPr>
      <w:r>
        <w:rPr>
          <w:b/>
        </w:rPr>
        <w:t>5</w:t>
      </w:r>
      <w:r w:rsidR="00AC7BE7" w:rsidRPr="00AC7BE7">
        <w:rPr>
          <w:b/>
        </w:rPr>
        <w:t>.</w:t>
      </w:r>
      <w:r w:rsidR="00AC7BE7" w:rsidRPr="00AC7BE7">
        <w:rPr>
          <w:b/>
        </w:rPr>
        <w:tab/>
        <w:t>Discovery Limitations.</w:t>
      </w:r>
      <w:r w:rsidR="00AC7BE7">
        <w:t xml:space="preserve">  The discovery in this cause is limited to the disclosures described in Paragraphs 1-3 together with: </w:t>
      </w:r>
      <w:r w:rsidR="00AC7BE7" w:rsidRPr="00AC7BE7">
        <w:t xml:space="preserve">[ </w:t>
      </w:r>
      <w:r w:rsidR="00AC7BE7" w:rsidRPr="00AC7BE7">
        <w:rPr>
          <w:u w:val="single"/>
        </w:rPr>
        <w:t>40 interrogatories per side, 40 requests for admissions per side, the depositions of the parties, depositions on written questions of custodians of business records for third parties, 60 hours of nonparty depositions per side, and 3 expert witnesses per side.  “Side” means a party or a group of parties with a common interest</w:t>
      </w:r>
      <w:r w:rsidR="00AC7BE7">
        <w:t>.</w:t>
      </w:r>
      <w:r w:rsidR="00EA1021">
        <w:t xml:space="preserve"> </w:t>
      </w:r>
      <w:r w:rsidR="00AC7BE7">
        <w:t xml:space="preserve">]  Any party may </w:t>
      </w:r>
      <w:r w:rsidR="00686256">
        <w:t xml:space="preserve">later </w:t>
      </w:r>
      <w:r w:rsidR="00AC7BE7">
        <w:t>move to modify these limitations for good cause.</w:t>
      </w:r>
    </w:p>
    <w:p w:rsidR="00235AD4" w:rsidRDefault="001D63BA" w:rsidP="00AC7BE7">
      <w:pPr>
        <w:pStyle w:val="Text-DS"/>
        <w:ind w:left="720" w:hanging="720"/>
      </w:pPr>
      <w:r>
        <w:rPr>
          <w:b/>
        </w:rPr>
        <w:t>6</w:t>
      </w:r>
      <w:r w:rsidR="00AC7BE7" w:rsidRPr="00AC7BE7">
        <w:rPr>
          <w:b/>
        </w:rPr>
        <w:t>.</w:t>
      </w:r>
      <w:r w:rsidR="00AC7BE7" w:rsidRPr="00AC7BE7">
        <w:rPr>
          <w:b/>
        </w:rPr>
        <w:tab/>
        <w:t>Privileged Information.</w:t>
      </w:r>
      <w:r w:rsidR="00AC7BE7">
        <w:t xml:space="preserve">  There is no duty to disclose privileged documents or information.  However, the parties are directed to meet and confer concerning privileged documents or information after the Status Conference.  By the deadline set in the Docket Control Order, the parties shall exchange privilege logs identifying the documents or information and the basis for any disputed claim of privilege in a manner that, without revealing information itself privileged or protected, will enable the other parties to assess the applicability of the privilege or protection.  Any party may move the Court for an order compelling the production of any documents or information identified on any other party’s privilege log.  If such a motion is made, the party asserting privilege shall respond to the motion within the time period provided by Local Rule CV-7.  The party asserting privilege shall then file with the Court within 30 days of the filing of the motion to compel any proof in the form of declarations or affidavits to support their assertions of privilege, along with the documents over which privilege is asserted for </w:t>
      </w:r>
      <w:r w:rsidR="00AC7BE7" w:rsidRPr="00EA1021">
        <w:rPr>
          <w:i/>
        </w:rPr>
        <w:t>in camera</w:t>
      </w:r>
      <w:r w:rsidR="00AC7BE7">
        <w:t xml:space="preserve"> inspection.</w:t>
      </w:r>
    </w:p>
    <w:p w:rsidR="00AC7BE7" w:rsidRDefault="00AC7BE7" w:rsidP="00AC7BE7">
      <w:pPr>
        <w:pStyle w:val="Text-DS"/>
        <w:ind w:left="720" w:hanging="720"/>
      </w:pPr>
      <w:r w:rsidRPr="00AC7BE7">
        <w:rPr>
          <w:b/>
        </w:rPr>
        <w:lastRenderedPageBreak/>
        <w:t>7.</w:t>
      </w:r>
      <w:r w:rsidRPr="00AC7BE7">
        <w:rPr>
          <w:b/>
        </w:rPr>
        <w:tab/>
        <w:t>Signature.</w:t>
      </w:r>
      <w:r w:rsidRPr="00AC7BE7">
        <w:t xml:space="preserve">  The disclosures required by this </w:t>
      </w:r>
      <w:r w:rsidR="00EA1021">
        <w:t>O</w:t>
      </w:r>
      <w:r w:rsidRPr="00AC7BE7">
        <w:t xml:space="preserve">rder shall be made in writing and signed by the party or counsel and shall constitute a certification that, to the best of the signer’s knowledge, information and belief, such disclosure is complete and correct as of the time it is made.  If feasible, counsel shall meet to exchange disclosures required by this </w:t>
      </w:r>
      <w:r w:rsidR="00EA1021">
        <w:t>O</w:t>
      </w:r>
      <w:r w:rsidRPr="00AC7BE7">
        <w:t>rder; otherwise, such disclosures shall be served as provided by Fed</w:t>
      </w:r>
      <w:r>
        <w:t>eral Rule of Civil Procedure 5</w:t>
      </w:r>
      <w:r w:rsidRPr="00AC7BE7">
        <w:t xml:space="preserve">.  The parties shall promptly file a notice with the </w:t>
      </w:r>
      <w:r w:rsidR="00EA1021">
        <w:t>C</w:t>
      </w:r>
      <w:r w:rsidRPr="00AC7BE7">
        <w:t xml:space="preserve">ourt that the disclosures required under this </w:t>
      </w:r>
      <w:r w:rsidR="00EA1021">
        <w:t>O</w:t>
      </w:r>
      <w:r w:rsidRPr="00AC7BE7">
        <w:t>rder have taken place.</w:t>
      </w:r>
    </w:p>
    <w:p w:rsidR="00AC7BE7" w:rsidRDefault="00AC7BE7" w:rsidP="00AC7BE7">
      <w:pPr>
        <w:pStyle w:val="Text-DS"/>
        <w:ind w:left="720" w:hanging="720"/>
      </w:pPr>
      <w:r w:rsidRPr="00AC7BE7">
        <w:rPr>
          <w:b/>
        </w:rPr>
        <w:t>8.</w:t>
      </w:r>
      <w:r w:rsidRPr="00AC7BE7">
        <w:rPr>
          <w:b/>
        </w:rPr>
        <w:tab/>
        <w:t>Duty to Supplement.</w:t>
      </w:r>
      <w:r w:rsidRPr="00AC7BE7">
        <w:t xml:space="preserve">  After disclosure is made pursuant to this </w:t>
      </w:r>
      <w:r w:rsidR="004E1F1C">
        <w:t>O</w:t>
      </w:r>
      <w:r w:rsidRPr="00AC7BE7">
        <w:t xml:space="preserve">rder, each party is under a duty to supplement or correct its disclosures </w:t>
      </w:r>
      <w:r w:rsidRPr="00AC7BE7">
        <w:rPr>
          <w:b/>
        </w:rPr>
        <w:t>immediately</w:t>
      </w:r>
      <w:r w:rsidRPr="00AC7BE7">
        <w:t xml:space="preserve"> if the party obtains information on the basis of which it knows that the information disclosed was either incomplete or incorrect when made, or is no longer complete or true.</w:t>
      </w:r>
    </w:p>
    <w:p w:rsidR="00AC7BE7" w:rsidRPr="007E15A9" w:rsidRDefault="00AC7BE7" w:rsidP="00AC7BE7">
      <w:pPr>
        <w:pStyle w:val="Text-DS"/>
        <w:ind w:left="720" w:hanging="720"/>
        <w:rPr>
          <w:b/>
        </w:rPr>
      </w:pPr>
      <w:r w:rsidRPr="007E15A9">
        <w:rPr>
          <w:b/>
        </w:rPr>
        <w:t>9.</w:t>
      </w:r>
      <w:r w:rsidRPr="007E15A9">
        <w:rPr>
          <w:b/>
        </w:rPr>
        <w:tab/>
      </w:r>
      <w:r w:rsidR="007E15A9">
        <w:rPr>
          <w:b/>
        </w:rPr>
        <w:t xml:space="preserve">Discovery </w:t>
      </w:r>
      <w:r w:rsidRPr="007E15A9">
        <w:rPr>
          <w:b/>
        </w:rPr>
        <w:t>Disputes.</w:t>
      </w:r>
    </w:p>
    <w:p w:rsidR="00AC7BE7" w:rsidRDefault="00AC7BE7" w:rsidP="00AC7BE7">
      <w:pPr>
        <w:pStyle w:val="Text-DS"/>
        <w:ind w:left="1440" w:hanging="720"/>
      </w:pPr>
      <w:r>
        <w:t>(a)</w:t>
      </w:r>
      <w:r>
        <w:tab/>
        <w:t xml:space="preserve">Except in cases involving claims of privilege, any party entitled to receive disclosures </w:t>
      </w:r>
      <w:r w:rsidR="007E15A9">
        <w:t xml:space="preserve">(“Requesting Party”) </w:t>
      </w:r>
      <w:r>
        <w:t>may, after the deadline for making disclosures, serve upon a party required to make disclosures</w:t>
      </w:r>
      <w:r w:rsidR="007E15A9">
        <w:t xml:space="preserve"> (“Responding Party”)</w:t>
      </w:r>
      <w:r>
        <w:t xml:space="preserve"> a written statement, in letter form or otherwise, of any reason why the </w:t>
      </w:r>
      <w:r w:rsidR="007E15A9">
        <w:t>Requesting Party</w:t>
      </w:r>
      <w:r>
        <w:t xml:space="preserve"> believes that the </w:t>
      </w:r>
      <w:r w:rsidR="007E15A9">
        <w:t xml:space="preserve">Responding Party’s </w:t>
      </w:r>
      <w:r>
        <w:t xml:space="preserve">disclosures are insufficient.  The written statement shall list, by category, the items the </w:t>
      </w:r>
      <w:r w:rsidR="007E15A9">
        <w:t>Requesting Party</w:t>
      </w:r>
      <w:r>
        <w:t xml:space="preserve"> contends should be produced.  The parties shall promptly meet and confer.  If the parties are unable to resolve their dispute, then the </w:t>
      </w:r>
      <w:r w:rsidR="007E15A9">
        <w:t>Responding Party</w:t>
      </w:r>
      <w:r>
        <w:t xml:space="preserve"> shall, within 14 days after service of the written statement upon it, serve upon the </w:t>
      </w:r>
      <w:r w:rsidR="007E15A9">
        <w:t>Requesting Party</w:t>
      </w:r>
      <w:r>
        <w:t xml:space="preserve"> a written statement, in letter form or otherwise, which identifies (1) the requested items that will be disclosed, if any, and (2) the reasons why any requested items </w:t>
      </w:r>
      <w:r>
        <w:lastRenderedPageBreak/>
        <w:t xml:space="preserve">will not be disclosed.  The </w:t>
      </w:r>
      <w:r w:rsidR="007E15A9">
        <w:t>Requesting Party</w:t>
      </w:r>
      <w:r>
        <w:t xml:space="preserve"> may there</w:t>
      </w:r>
      <w:r w:rsidR="007E15A9">
        <w:t>after file a motion to compel.</w:t>
      </w:r>
    </w:p>
    <w:p w:rsidR="007E15A9" w:rsidRDefault="00AC7BE7" w:rsidP="00AC7BE7">
      <w:pPr>
        <w:pStyle w:val="Text-DS"/>
        <w:ind w:left="1440" w:hanging="720"/>
      </w:pPr>
      <w:r>
        <w:t>(b)</w:t>
      </w:r>
      <w:r>
        <w:tab/>
      </w:r>
      <w:r w:rsidR="007E15A9">
        <w:t xml:space="preserve">In addition to the requirements </w:t>
      </w:r>
      <w:r w:rsidR="00601874">
        <w:t>of Local Rule CV-7(h) and (i), within 72 hours of the Court setting any discovery motion for a hearing, each party’s lead attorney (</w:t>
      </w:r>
      <w:r w:rsidR="00601874" w:rsidRPr="00601874">
        <w:rPr>
          <w:i/>
        </w:rPr>
        <w:t>see</w:t>
      </w:r>
      <w:r w:rsidR="00601874">
        <w:t xml:space="preserve"> Local Rule CV-11(a)) and local counsel shall meet and confer in person or by telephone, without the involvement or participation of other attorneys, in an effort to resolve the dispute without Court intervention</w:t>
      </w:r>
      <w:r w:rsidR="007E15A9">
        <w:t>.</w:t>
      </w:r>
    </w:p>
    <w:p w:rsidR="00AC7BE7" w:rsidRDefault="00AC7BE7" w:rsidP="00AC7BE7">
      <w:pPr>
        <w:pStyle w:val="Text-DS"/>
        <w:ind w:left="1440" w:hanging="720"/>
      </w:pPr>
      <w:r>
        <w:t>(c)</w:t>
      </w:r>
      <w:r>
        <w:tab/>
        <w:t>Counsel are directed to contact the chambers of the undersigned for any “hot-line” disputes before contacting the Discovery Hotline provided by Local Rule CV-26(e).  If the undersigned is not available, the parties shall proceed in accordance with Local Rule CV-26(e).</w:t>
      </w:r>
      <w:r>
        <w:tab/>
      </w:r>
    </w:p>
    <w:p w:rsidR="00AC7BE7" w:rsidRDefault="00AC7BE7" w:rsidP="00AC7BE7">
      <w:pPr>
        <w:pStyle w:val="Text-DS"/>
        <w:ind w:left="720" w:hanging="720"/>
      </w:pPr>
      <w:r w:rsidRPr="00AC7BE7">
        <w:rPr>
          <w:b/>
        </w:rPr>
        <w:t>10.</w:t>
      </w:r>
      <w:r w:rsidRPr="00AC7BE7">
        <w:rPr>
          <w:b/>
        </w:rPr>
        <w:tab/>
        <w:t>No Excuses.</w:t>
      </w:r>
      <w:r>
        <w:t xml:space="preserve">  A party is not excused from the requirements of this Discovery Order because it has not fully completed its investigation of the case, or because it challenges the sufficiency of another party’s disclosures, or because another party has not made its disclosures.  Absent court order to the contrary, a party is not excused from disclosure because there are pending motions to dismiss, to remand or to change venue.</w:t>
      </w:r>
    </w:p>
    <w:p w:rsidR="00AC7BE7" w:rsidRDefault="00AC7BE7" w:rsidP="00AC7BE7">
      <w:pPr>
        <w:pStyle w:val="Text-DS"/>
        <w:ind w:left="720" w:hanging="720"/>
      </w:pPr>
      <w:r w:rsidRPr="00AC7BE7">
        <w:rPr>
          <w:b/>
        </w:rPr>
        <w:t>11.</w:t>
      </w:r>
      <w:r w:rsidRPr="00AC7BE7">
        <w:rPr>
          <w:b/>
        </w:rPr>
        <w:tab/>
        <w:t>Filings</w:t>
      </w:r>
      <w:r>
        <w:t>.  Only upon request from chambers shall counsel submit to the court courtesy copies of any filings.</w:t>
      </w:r>
    </w:p>
    <w:p w:rsidR="007E15A9" w:rsidRPr="007E15A9" w:rsidRDefault="007E15A9" w:rsidP="003E1EC6">
      <w:pPr>
        <w:pStyle w:val="Text-DS"/>
        <w:ind w:left="720" w:hanging="720"/>
        <w:rPr>
          <w:b/>
        </w:rPr>
      </w:pPr>
      <w:r w:rsidRPr="007E15A9">
        <w:rPr>
          <w:b/>
        </w:rPr>
        <w:t>12.</w:t>
      </w:r>
      <w:r w:rsidRPr="007E15A9">
        <w:rPr>
          <w:b/>
        </w:rPr>
        <w:tab/>
      </w:r>
      <w:r w:rsidR="003E1EC6">
        <w:rPr>
          <w:b/>
        </w:rPr>
        <w:t xml:space="preserve">Proposed Stipulations by the Parties Regarding Discovery:  </w:t>
      </w:r>
      <w:r w:rsidR="003E1EC6">
        <w:t>[</w:t>
      </w:r>
      <w:r w:rsidR="00EA1021">
        <w:t xml:space="preserve"> </w:t>
      </w:r>
      <w:r w:rsidR="004E1F1C">
        <w:rPr>
          <w:u w:val="single"/>
        </w:rPr>
        <w:t>The parties may include proposed stipulations regarding discovery here.  Proposed Stipulations may not be used to modify the ordinary procedures of the Court (e.g. the requirement that an in person conference be held prior to filing a di</w:t>
      </w:r>
      <w:r w:rsidR="004E1F1C" w:rsidRPr="00AD3CC6">
        <w:rPr>
          <w:u w:val="single"/>
        </w:rPr>
        <w:t>scovery-related motion.)</w:t>
      </w:r>
      <w:r w:rsidR="00AD3CC6" w:rsidRPr="00AD3CC6">
        <w:rPr>
          <w:u w:val="single"/>
        </w:rPr>
        <w:t xml:space="preserve">  If there are no proposed stipulations, indicate “None.”</w:t>
      </w:r>
      <w:r w:rsidR="00AD3CC6">
        <w:t xml:space="preserve"> </w:t>
      </w:r>
      <w:r w:rsidR="003E1EC6">
        <w:t>]</w:t>
      </w:r>
      <w:r>
        <w:rPr>
          <w:b/>
        </w:rPr>
        <w:t xml:space="preserve"> </w:t>
      </w:r>
    </w:p>
    <w:p w:rsidR="00AD1C0C" w:rsidRPr="002D2E18" w:rsidRDefault="00AD1C0C" w:rsidP="00AD1C0C">
      <w:pPr>
        <w:tabs>
          <w:tab w:val="left" w:pos="3645"/>
        </w:tabs>
        <w:rPr>
          <w:b/>
        </w:rPr>
      </w:pPr>
    </w:p>
    <w:sectPr w:rsidR="00AD1C0C" w:rsidRPr="002D2E18" w:rsidSect="003D78E1">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1AB" w:rsidRDefault="005241AB" w:rsidP="00600E66">
      <w:r>
        <w:separator/>
      </w:r>
    </w:p>
  </w:endnote>
  <w:endnote w:type="continuationSeparator" w:id="0">
    <w:p w:rsidR="005241AB" w:rsidRDefault="005241AB" w:rsidP="0060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0D" w:rsidRDefault="0025310D">
    <w:pPr>
      <w:pStyle w:val="Footer"/>
    </w:pPr>
  </w:p>
  <w:p w:rsidR="008F1C95" w:rsidRDefault="008F1C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27992534"/>
      <w:docPartObj>
        <w:docPartGallery w:val="Page Numbers (Bottom of Page)"/>
        <w:docPartUnique/>
      </w:docPartObj>
    </w:sdtPr>
    <w:sdtEndPr/>
    <w:sdtContent>
      <w:sdt>
        <w:sdtPr>
          <w:rPr>
            <w:sz w:val="20"/>
            <w:szCs w:val="20"/>
          </w:rPr>
          <w:id w:val="-1052072418"/>
          <w:docPartObj>
            <w:docPartGallery w:val="Page Numbers (Top of Page)"/>
            <w:docPartUnique/>
          </w:docPartObj>
        </w:sdtPr>
        <w:sdtEndPr/>
        <w:sdtContent>
          <w:p w:rsidR="003D78E1" w:rsidRPr="003D78E1" w:rsidRDefault="003D78E1">
            <w:pPr>
              <w:pStyle w:val="Footer"/>
              <w:jc w:val="center"/>
              <w:rPr>
                <w:sz w:val="20"/>
                <w:szCs w:val="20"/>
              </w:rPr>
            </w:pPr>
            <w:r w:rsidRPr="003D78E1">
              <w:rPr>
                <w:sz w:val="20"/>
                <w:szCs w:val="20"/>
              </w:rPr>
              <w:t xml:space="preserve">Page </w:t>
            </w:r>
            <w:r w:rsidRPr="003D78E1">
              <w:rPr>
                <w:b/>
                <w:bCs/>
                <w:sz w:val="20"/>
                <w:szCs w:val="20"/>
              </w:rPr>
              <w:fldChar w:fldCharType="begin"/>
            </w:r>
            <w:r w:rsidRPr="003D78E1">
              <w:rPr>
                <w:b/>
                <w:bCs/>
                <w:sz w:val="20"/>
                <w:szCs w:val="20"/>
              </w:rPr>
              <w:instrText xml:space="preserve"> PAGE </w:instrText>
            </w:r>
            <w:r w:rsidRPr="003D78E1">
              <w:rPr>
                <w:b/>
                <w:bCs/>
                <w:sz w:val="20"/>
                <w:szCs w:val="20"/>
              </w:rPr>
              <w:fldChar w:fldCharType="separate"/>
            </w:r>
            <w:r w:rsidR="00601874">
              <w:rPr>
                <w:b/>
                <w:bCs/>
                <w:noProof/>
                <w:sz w:val="20"/>
                <w:szCs w:val="20"/>
              </w:rPr>
              <w:t>1</w:t>
            </w:r>
            <w:r w:rsidRPr="003D78E1">
              <w:rPr>
                <w:b/>
                <w:bCs/>
                <w:sz w:val="20"/>
                <w:szCs w:val="20"/>
              </w:rPr>
              <w:fldChar w:fldCharType="end"/>
            </w:r>
            <w:r w:rsidRPr="003D78E1">
              <w:rPr>
                <w:sz w:val="20"/>
                <w:szCs w:val="20"/>
              </w:rPr>
              <w:t xml:space="preserve"> of </w:t>
            </w:r>
            <w:r w:rsidRPr="003D78E1">
              <w:rPr>
                <w:b/>
                <w:bCs/>
                <w:sz w:val="20"/>
                <w:szCs w:val="20"/>
              </w:rPr>
              <w:fldChar w:fldCharType="begin"/>
            </w:r>
            <w:r w:rsidRPr="003D78E1">
              <w:rPr>
                <w:b/>
                <w:bCs/>
                <w:sz w:val="20"/>
                <w:szCs w:val="20"/>
              </w:rPr>
              <w:instrText xml:space="preserve"> NUMPAGES  </w:instrText>
            </w:r>
            <w:r w:rsidRPr="003D78E1">
              <w:rPr>
                <w:b/>
                <w:bCs/>
                <w:sz w:val="20"/>
                <w:szCs w:val="20"/>
              </w:rPr>
              <w:fldChar w:fldCharType="separate"/>
            </w:r>
            <w:r w:rsidR="00601874">
              <w:rPr>
                <w:b/>
                <w:bCs/>
                <w:noProof/>
                <w:sz w:val="20"/>
                <w:szCs w:val="20"/>
              </w:rPr>
              <w:t>7</w:t>
            </w:r>
            <w:r w:rsidRPr="003D78E1">
              <w:rPr>
                <w:b/>
                <w:bCs/>
                <w:sz w:val="20"/>
                <w:szCs w:val="20"/>
              </w:rPr>
              <w:fldChar w:fldCharType="end"/>
            </w:r>
          </w:p>
        </w:sdtContent>
      </w:sdt>
    </w:sdtContent>
  </w:sdt>
  <w:p w:rsidR="008F1C95" w:rsidRDefault="008F1C95" w:rsidP="00EE246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449399"/>
      <w:docPartObj>
        <w:docPartGallery w:val="Page Numbers (Bottom of Page)"/>
        <w:docPartUnique/>
      </w:docPartObj>
    </w:sdtPr>
    <w:sdtEndPr/>
    <w:sdtContent>
      <w:sdt>
        <w:sdtPr>
          <w:id w:val="-1669238322"/>
          <w:docPartObj>
            <w:docPartGallery w:val="Page Numbers (Top of Page)"/>
            <w:docPartUnique/>
          </w:docPartObj>
        </w:sdtPr>
        <w:sdtEndPr/>
        <w:sdtContent>
          <w:p w:rsidR="00A016CB" w:rsidRDefault="00A016CB">
            <w:pPr>
              <w:pStyle w:val="Footer"/>
              <w:jc w:val="center"/>
            </w:pPr>
            <w:r w:rsidRPr="00A016CB">
              <w:rPr>
                <w:sz w:val="20"/>
                <w:szCs w:val="20"/>
              </w:rPr>
              <w:t xml:space="preserve">Page </w:t>
            </w:r>
            <w:r w:rsidRPr="00A016CB">
              <w:rPr>
                <w:b/>
                <w:bCs/>
                <w:sz w:val="20"/>
                <w:szCs w:val="20"/>
              </w:rPr>
              <w:fldChar w:fldCharType="begin"/>
            </w:r>
            <w:r w:rsidRPr="00A016CB">
              <w:rPr>
                <w:b/>
                <w:bCs/>
                <w:sz w:val="20"/>
                <w:szCs w:val="20"/>
              </w:rPr>
              <w:instrText xml:space="preserve"> PAGE </w:instrText>
            </w:r>
            <w:r w:rsidRPr="00A016CB">
              <w:rPr>
                <w:b/>
                <w:bCs/>
                <w:sz w:val="20"/>
                <w:szCs w:val="20"/>
              </w:rPr>
              <w:fldChar w:fldCharType="separate"/>
            </w:r>
            <w:r>
              <w:rPr>
                <w:b/>
                <w:bCs/>
                <w:noProof/>
                <w:sz w:val="20"/>
                <w:szCs w:val="20"/>
              </w:rPr>
              <w:t>1</w:t>
            </w:r>
            <w:r w:rsidRPr="00A016CB">
              <w:rPr>
                <w:b/>
                <w:bCs/>
                <w:sz w:val="20"/>
                <w:szCs w:val="20"/>
              </w:rPr>
              <w:fldChar w:fldCharType="end"/>
            </w:r>
            <w:r w:rsidRPr="00A016CB">
              <w:rPr>
                <w:sz w:val="20"/>
                <w:szCs w:val="20"/>
              </w:rPr>
              <w:t xml:space="preserve"> of </w:t>
            </w:r>
            <w:r w:rsidRPr="00A016CB">
              <w:rPr>
                <w:b/>
                <w:bCs/>
                <w:sz w:val="20"/>
                <w:szCs w:val="20"/>
              </w:rPr>
              <w:fldChar w:fldCharType="begin"/>
            </w:r>
            <w:r w:rsidRPr="00A016CB">
              <w:rPr>
                <w:b/>
                <w:bCs/>
                <w:sz w:val="20"/>
                <w:szCs w:val="20"/>
              </w:rPr>
              <w:instrText xml:space="preserve"> NUMPAGES  </w:instrText>
            </w:r>
            <w:r w:rsidRPr="00A016CB">
              <w:rPr>
                <w:b/>
                <w:bCs/>
                <w:sz w:val="20"/>
                <w:szCs w:val="20"/>
              </w:rPr>
              <w:fldChar w:fldCharType="separate"/>
            </w:r>
            <w:r w:rsidR="00E47E45">
              <w:rPr>
                <w:b/>
                <w:bCs/>
                <w:noProof/>
                <w:sz w:val="20"/>
                <w:szCs w:val="20"/>
              </w:rPr>
              <w:t>6</w:t>
            </w:r>
            <w:r w:rsidRPr="00A016CB">
              <w:rPr>
                <w:b/>
                <w:bCs/>
                <w:sz w:val="20"/>
                <w:szCs w:val="20"/>
              </w:rPr>
              <w:fldChar w:fldCharType="end"/>
            </w:r>
          </w:p>
        </w:sdtContent>
      </w:sdt>
    </w:sdtContent>
  </w:sdt>
  <w:p w:rsidR="00A016CB" w:rsidRDefault="00A01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1AB" w:rsidRDefault="005241AB" w:rsidP="00600E66">
      <w:r>
        <w:separator/>
      </w:r>
    </w:p>
  </w:footnote>
  <w:footnote w:type="continuationSeparator" w:id="0">
    <w:p w:rsidR="005241AB" w:rsidRDefault="005241AB" w:rsidP="00600E66">
      <w:r>
        <w:continuationSeparator/>
      </w:r>
    </w:p>
  </w:footnote>
  <w:footnote w:id="1">
    <w:p w:rsidR="00686256" w:rsidRDefault="00686256">
      <w:pPr>
        <w:pStyle w:val="FootnoteText"/>
      </w:pPr>
      <w:r>
        <w:rPr>
          <w:rStyle w:val="FootnoteReference"/>
        </w:rPr>
        <w:footnoteRef/>
      </w:r>
      <w:r>
        <w:t xml:space="preserve">  The Court anticipates that this disclosure requirement will obviate the need for requests for production.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0D" w:rsidRDefault="0025310D">
    <w:pPr>
      <w:pStyle w:val="Header"/>
    </w:pPr>
  </w:p>
  <w:p w:rsidR="008F1C95" w:rsidRDefault="008F1C9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0D" w:rsidRDefault="0025310D">
    <w:pPr>
      <w:pStyle w:val="Header"/>
    </w:pPr>
  </w:p>
  <w:p w:rsidR="008F1C95" w:rsidRDefault="008F1C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170"/>
    <w:multiLevelType w:val="hybridMultilevel"/>
    <w:tmpl w:val="A10E3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025A8E"/>
    <w:multiLevelType w:val="hybridMultilevel"/>
    <w:tmpl w:val="9C46B756"/>
    <w:lvl w:ilvl="0" w:tplc="C3C86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CE0DA3"/>
    <w:multiLevelType w:val="hybridMultilevel"/>
    <w:tmpl w:val="95E882E6"/>
    <w:lvl w:ilvl="0" w:tplc="0D2237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0A3F"/>
    <w:multiLevelType w:val="hybridMultilevel"/>
    <w:tmpl w:val="42AE6F4C"/>
    <w:lvl w:ilvl="0" w:tplc="D2D03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8A"/>
    <w:rsid w:val="000040C0"/>
    <w:rsid w:val="00012D42"/>
    <w:rsid w:val="00031786"/>
    <w:rsid w:val="00074193"/>
    <w:rsid w:val="0007603B"/>
    <w:rsid w:val="00077C49"/>
    <w:rsid w:val="000947A4"/>
    <w:rsid w:val="00097537"/>
    <w:rsid w:val="000A478A"/>
    <w:rsid w:val="000C6729"/>
    <w:rsid w:val="000E02E1"/>
    <w:rsid w:val="000E2178"/>
    <w:rsid w:val="000F37E2"/>
    <w:rsid w:val="00102F3E"/>
    <w:rsid w:val="001064AD"/>
    <w:rsid w:val="001339A7"/>
    <w:rsid w:val="00154DE2"/>
    <w:rsid w:val="0016496B"/>
    <w:rsid w:val="00185616"/>
    <w:rsid w:val="00196928"/>
    <w:rsid w:val="001A74F0"/>
    <w:rsid w:val="001B0E6A"/>
    <w:rsid w:val="001B11FA"/>
    <w:rsid w:val="001B36DB"/>
    <w:rsid w:val="001C1283"/>
    <w:rsid w:val="001D17FE"/>
    <w:rsid w:val="001D3B3C"/>
    <w:rsid w:val="001D61D5"/>
    <w:rsid w:val="001D63BA"/>
    <w:rsid w:val="001E1A7E"/>
    <w:rsid w:val="001F76F1"/>
    <w:rsid w:val="00201A2A"/>
    <w:rsid w:val="00207185"/>
    <w:rsid w:val="0022148D"/>
    <w:rsid w:val="002218A1"/>
    <w:rsid w:val="00235AD4"/>
    <w:rsid w:val="00250C59"/>
    <w:rsid w:val="00250D2E"/>
    <w:rsid w:val="0025310D"/>
    <w:rsid w:val="00263B92"/>
    <w:rsid w:val="00265EC8"/>
    <w:rsid w:val="0028755A"/>
    <w:rsid w:val="002A3F1E"/>
    <w:rsid w:val="002B55D7"/>
    <w:rsid w:val="002D2E18"/>
    <w:rsid w:val="002D66DE"/>
    <w:rsid w:val="002F2C2F"/>
    <w:rsid w:val="00300093"/>
    <w:rsid w:val="0030201B"/>
    <w:rsid w:val="00311AE1"/>
    <w:rsid w:val="003248AF"/>
    <w:rsid w:val="003456E6"/>
    <w:rsid w:val="0034719A"/>
    <w:rsid w:val="00347612"/>
    <w:rsid w:val="0035341E"/>
    <w:rsid w:val="0035654C"/>
    <w:rsid w:val="003725C8"/>
    <w:rsid w:val="003726C2"/>
    <w:rsid w:val="00394323"/>
    <w:rsid w:val="00394887"/>
    <w:rsid w:val="003A12A7"/>
    <w:rsid w:val="003D0AE1"/>
    <w:rsid w:val="003D78E1"/>
    <w:rsid w:val="003E1EC6"/>
    <w:rsid w:val="003F677C"/>
    <w:rsid w:val="00401967"/>
    <w:rsid w:val="00402289"/>
    <w:rsid w:val="00430498"/>
    <w:rsid w:val="00440CC3"/>
    <w:rsid w:val="004467B7"/>
    <w:rsid w:val="0047577B"/>
    <w:rsid w:val="00486EF7"/>
    <w:rsid w:val="004E1F1C"/>
    <w:rsid w:val="004E3ED3"/>
    <w:rsid w:val="00512571"/>
    <w:rsid w:val="00513EB1"/>
    <w:rsid w:val="00522517"/>
    <w:rsid w:val="005241AB"/>
    <w:rsid w:val="0053419E"/>
    <w:rsid w:val="00561C81"/>
    <w:rsid w:val="00565209"/>
    <w:rsid w:val="00570C96"/>
    <w:rsid w:val="005747E4"/>
    <w:rsid w:val="00580220"/>
    <w:rsid w:val="005865B9"/>
    <w:rsid w:val="005934B7"/>
    <w:rsid w:val="005A094E"/>
    <w:rsid w:val="005A7176"/>
    <w:rsid w:val="005E5936"/>
    <w:rsid w:val="005F5AC4"/>
    <w:rsid w:val="00600E66"/>
    <w:rsid w:val="00601874"/>
    <w:rsid w:val="00602710"/>
    <w:rsid w:val="006300F0"/>
    <w:rsid w:val="006309F4"/>
    <w:rsid w:val="00630EFC"/>
    <w:rsid w:val="0064447B"/>
    <w:rsid w:val="00654616"/>
    <w:rsid w:val="00675680"/>
    <w:rsid w:val="00681AD2"/>
    <w:rsid w:val="00686256"/>
    <w:rsid w:val="00693581"/>
    <w:rsid w:val="00696F61"/>
    <w:rsid w:val="006A2022"/>
    <w:rsid w:val="006B550F"/>
    <w:rsid w:val="006C1A9E"/>
    <w:rsid w:val="006D2E16"/>
    <w:rsid w:val="006D4780"/>
    <w:rsid w:val="006E1144"/>
    <w:rsid w:val="006E4B33"/>
    <w:rsid w:val="006E7E88"/>
    <w:rsid w:val="006F2C1A"/>
    <w:rsid w:val="00702237"/>
    <w:rsid w:val="00712E12"/>
    <w:rsid w:val="00717ECA"/>
    <w:rsid w:val="00722855"/>
    <w:rsid w:val="00734924"/>
    <w:rsid w:val="00745422"/>
    <w:rsid w:val="00754A96"/>
    <w:rsid w:val="0076317D"/>
    <w:rsid w:val="0076596C"/>
    <w:rsid w:val="00766347"/>
    <w:rsid w:val="00773C8B"/>
    <w:rsid w:val="007A10B7"/>
    <w:rsid w:val="007B077D"/>
    <w:rsid w:val="007E15A9"/>
    <w:rsid w:val="008055A6"/>
    <w:rsid w:val="00807E83"/>
    <w:rsid w:val="00812DC7"/>
    <w:rsid w:val="008225CA"/>
    <w:rsid w:val="00834CD3"/>
    <w:rsid w:val="008528C5"/>
    <w:rsid w:val="00855C33"/>
    <w:rsid w:val="00861BA6"/>
    <w:rsid w:val="00864EED"/>
    <w:rsid w:val="00864FC1"/>
    <w:rsid w:val="008730C7"/>
    <w:rsid w:val="008913AB"/>
    <w:rsid w:val="008B5365"/>
    <w:rsid w:val="008D2D34"/>
    <w:rsid w:val="008D3B4C"/>
    <w:rsid w:val="008F1C95"/>
    <w:rsid w:val="009151EF"/>
    <w:rsid w:val="009217F2"/>
    <w:rsid w:val="0093316A"/>
    <w:rsid w:val="0096151E"/>
    <w:rsid w:val="00975E3D"/>
    <w:rsid w:val="0098078F"/>
    <w:rsid w:val="00987136"/>
    <w:rsid w:val="009B2D7A"/>
    <w:rsid w:val="009B7C2A"/>
    <w:rsid w:val="009C74E0"/>
    <w:rsid w:val="009D08F9"/>
    <w:rsid w:val="009D1D2F"/>
    <w:rsid w:val="009E3801"/>
    <w:rsid w:val="009E53E1"/>
    <w:rsid w:val="009F16FD"/>
    <w:rsid w:val="009F231D"/>
    <w:rsid w:val="00A016CB"/>
    <w:rsid w:val="00A25888"/>
    <w:rsid w:val="00A258F5"/>
    <w:rsid w:val="00A55291"/>
    <w:rsid w:val="00A56BF7"/>
    <w:rsid w:val="00A64906"/>
    <w:rsid w:val="00A7407E"/>
    <w:rsid w:val="00A91289"/>
    <w:rsid w:val="00A93FE7"/>
    <w:rsid w:val="00A95547"/>
    <w:rsid w:val="00AA5BEA"/>
    <w:rsid w:val="00AA763B"/>
    <w:rsid w:val="00AC0638"/>
    <w:rsid w:val="00AC7BE7"/>
    <w:rsid w:val="00AD1C0C"/>
    <w:rsid w:val="00AD3CC6"/>
    <w:rsid w:val="00B4051D"/>
    <w:rsid w:val="00B42EC7"/>
    <w:rsid w:val="00B4375C"/>
    <w:rsid w:val="00B80579"/>
    <w:rsid w:val="00B85689"/>
    <w:rsid w:val="00B96011"/>
    <w:rsid w:val="00BD258F"/>
    <w:rsid w:val="00BD5922"/>
    <w:rsid w:val="00BF1972"/>
    <w:rsid w:val="00BF1C2C"/>
    <w:rsid w:val="00C14EEA"/>
    <w:rsid w:val="00C151D4"/>
    <w:rsid w:val="00C162DF"/>
    <w:rsid w:val="00C22864"/>
    <w:rsid w:val="00C23AC7"/>
    <w:rsid w:val="00C50841"/>
    <w:rsid w:val="00C64B3D"/>
    <w:rsid w:val="00C724CB"/>
    <w:rsid w:val="00C75624"/>
    <w:rsid w:val="00C833C2"/>
    <w:rsid w:val="00C860BA"/>
    <w:rsid w:val="00CA1EB1"/>
    <w:rsid w:val="00CA7C03"/>
    <w:rsid w:val="00CC13F5"/>
    <w:rsid w:val="00CC2254"/>
    <w:rsid w:val="00CE5031"/>
    <w:rsid w:val="00D13435"/>
    <w:rsid w:val="00D30B9E"/>
    <w:rsid w:val="00D31BF3"/>
    <w:rsid w:val="00D5548C"/>
    <w:rsid w:val="00D81B0F"/>
    <w:rsid w:val="00D862D0"/>
    <w:rsid w:val="00D90C93"/>
    <w:rsid w:val="00DA7E94"/>
    <w:rsid w:val="00DB538A"/>
    <w:rsid w:val="00DC3BDF"/>
    <w:rsid w:val="00DD1721"/>
    <w:rsid w:val="00DD6AAE"/>
    <w:rsid w:val="00DD725F"/>
    <w:rsid w:val="00DE57D8"/>
    <w:rsid w:val="00DE76A6"/>
    <w:rsid w:val="00E16B48"/>
    <w:rsid w:val="00E20ECC"/>
    <w:rsid w:val="00E24F68"/>
    <w:rsid w:val="00E26E58"/>
    <w:rsid w:val="00E35F29"/>
    <w:rsid w:val="00E4762D"/>
    <w:rsid w:val="00E47E45"/>
    <w:rsid w:val="00E56095"/>
    <w:rsid w:val="00E65F39"/>
    <w:rsid w:val="00E66602"/>
    <w:rsid w:val="00E9033B"/>
    <w:rsid w:val="00EA1021"/>
    <w:rsid w:val="00EA3A99"/>
    <w:rsid w:val="00EA7CDF"/>
    <w:rsid w:val="00EC20CF"/>
    <w:rsid w:val="00EC5B21"/>
    <w:rsid w:val="00ED17D2"/>
    <w:rsid w:val="00ED2B84"/>
    <w:rsid w:val="00EE2467"/>
    <w:rsid w:val="00EF5DB1"/>
    <w:rsid w:val="00F21B0B"/>
    <w:rsid w:val="00F359EA"/>
    <w:rsid w:val="00F53F13"/>
    <w:rsid w:val="00F5451B"/>
    <w:rsid w:val="00F6611A"/>
    <w:rsid w:val="00F73BB8"/>
    <w:rsid w:val="00F921EA"/>
    <w:rsid w:val="00F959F5"/>
    <w:rsid w:val="00FB2D2C"/>
    <w:rsid w:val="00FD056E"/>
    <w:rsid w:val="00FE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9D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5F29"/>
    <w:pPr>
      <w:spacing w:after="0" w:line="240" w:lineRule="auto"/>
    </w:pPr>
  </w:style>
  <w:style w:type="paragraph" w:styleId="Heading1">
    <w:name w:val="heading 1"/>
    <w:basedOn w:val="Normal"/>
    <w:next w:val="Text-DS"/>
    <w:link w:val="Heading1Char"/>
    <w:uiPriority w:val="9"/>
    <w:qFormat/>
    <w:rsid w:val="00E35F29"/>
    <w:pPr>
      <w:keepNext/>
      <w:keepLines/>
      <w:spacing w:after="240"/>
      <w:jc w:val="center"/>
      <w:outlineLvl w:val="0"/>
    </w:pPr>
    <w:rPr>
      <w:rFonts w:eastAsiaTheme="majorEastAsia" w:cstheme="majorBidi"/>
      <w:b/>
      <w:bCs/>
      <w:color w:val="000000" w:themeColor="text1"/>
      <w:szCs w:val="28"/>
    </w:rPr>
  </w:style>
  <w:style w:type="paragraph" w:styleId="Heading2">
    <w:name w:val="heading 2"/>
    <w:basedOn w:val="Normal"/>
    <w:next w:val="Text-DS"/>
    <w:link w:val="Heading2Char"/>
    <w:uiPriority w:val="9"/>
    <w:unhideWhenUsed/>
    <w:qFormat/>
    <w:rsid w:val="009D1D2F"/>
    <w:pPr>
      <w:keepNext/>
      <w:keepLines/>
      <w:spacing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00E66"/>
    <w:pPr>
      <w:ind w:left="720"/>
      <w:contextualSpacing/>
    </w:pPr>
  </w:style>
  <w:style w:type="paragraph" w:styleId="EndnoteText">
    <w:name w:val="endnote text"/>
    <w:basedOn w:val="Normal"/>
    <w:link w:val="EndnoteTextChar"/>
    <w:uiPriority w:val="99"/>
    <w:semiHidden/>
    <w:unhideWhenUsed/>
    <w:rsid w:val="00600E66"/>
    <w:rPr>
      <w:sz w:val="20"/>
      <w:szCs w:val="20"/>
    </w:rPr>
  </w:style>
  <w:style w:type="character" w:customStyle="1" w:styleId="EndnoteTextChar">
    <w:name w:val="Endnote Text Char"/>
    <w:basedOn w:val="DefaultParagraphFont"/>
    <w:link w:val="EndnoteText"/>
    <w:uiPriority w:val="99"/>
    <w:semiHidden/>
    <w:rsid w:val="00600E66"/>
    <w:rPr>
      <w:sz w:val="20"/>
      <w:szCs w:val="20"/>
    </w:rPr>
  </w:style>
  <w:style w:type="character" w:styleId="EndnoteReference">
    <w:name w:val="endnote reference"/>
    <w:basedOn w:val="DefaultParagraphFont"/>
    <w:uiPriority w:val="99"/>
    <w:semiHidden/>
    <w:unhideWhenUsed/>
    <w:rsid w:val="00600E66"/>
    <w:rPr>
      <w:vertAlign w:val="superscript"/>
    </w:rPr>
  </w:style>
  <w:style w:type="paragraph" w:styleId="FootnoteText">
    <w:name w:val="footnote text"/>
    <w:basedOn w:val="Normal"/>
    <w:link w:val="FootnoteTextChar"/>
    <w:uiPriority w:val="99"/>
    <w:semiHidden/>
    <w:rsid w:val="00394887"/>
    <w:pPr>
      <w:spacing w:after="240"/>
      <w:ind w:firstLine="720"/>
      <w:jc w:val="both"/>
    </w:pPr>
    <w:rPr>
      <w:rFonts w:eastAsia="Times New Roman" w:cs="Times New Roman"/>
      <w:szCs w:val="20"/>
    </w:rPr>
  </w:style>
  <w:style w:type="character" w:customStyle="1" w:styleId="FootnoteTextChar">
    <w:name w:val="Footnote Text Char"/>
    <w:basedOn w:val="DefaultParagraphFont"/>
    <w:link w:val="FootnoteText"/>
    <w:uiPriority w:val="99"/>
    <w:semiHidden/>
    <w:rsid w:val="00394887"/>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rsid w:val="00394887"/>
    <w:rPr>
      <w:rFonts w:cs="Times New Roman"/>
      <w:vertAlign w:val="superscript"/>
    </w:rPr>
  </w:style>
  <w:style w:type="paragraph" w:styleId="Header">
    <w:name w:val="header"/>
    <w:basedOn w:val="Normal"/>
    <w:link w:val="HeaderChar"/>
    <w:uiPriority w:val="99"/>
    <w:unhideWhenUsed/>
    <w:rsid w:val="00A91289"/>
    <w:pPr>
      <w:tabs>
        <w:tab w:val="center" w:pos="4680"/>
        <w:tab w:val="right" w:pos="9360"/>
      </w:tabs>
    </w:pPr>
  </w:style>
  <w:style w:type="character" w:customStyle="1" w:styleId="HeaderChar">
    <w:name w:val="Header Char"/>
    <w:basedOn w:val="DefaultParagraphFont"/>
    <w:link w:val="Header"/>
    <w:uiPriority w:val="99"/>
    <w:rsid w:val="00A91289"/>
  </w:style>
  <w:style w:type="paragraph" w:styleId="Footer">
    <w:name w:val="footer"/>
    <w:basedOn w:val="Normal"/>
    <w:link w:val="FooterChar"/>
    <w:uiPriority w:val="99"/>
    <w:unhideWhenUsed/>
    <w:rsid w:val="00A91289"/>
    <w:pPr>
      <w:tabs>
        <w:tab w:val="center" w:pos="4680"/>
        <w:tab w:val="right" w:pos="9360"/>
      </w:tabs>
    </w:pPr>
  </w:style>
  <w:style w:type="character" w:customStyle="1" w:styleId="FooterChar">
    <w:name w:val="Footer Char"/>
    <w:basedOn w:val="DefaultParagraphFont"/>
    <w:link w:val="Footer"/>
    <w:uiPriority w:val="99"/>
    <w:rsid w:val="00A91289"/>
  </w:style>
  <w:style w:type="paragraph" w:styleId="BalloonText">
    <w:name w:val="Balloon Text"/>
    <w:basedOn w:val="Normal"/>
    <w:link w:val="BalloonTextChar"/>
    <w:uiPriority w:val="99"/>
    <w:semiHidden/>
    <w:unhideWhenUsed/>
    <w:rsid w:val="00834CD3"/>
    <w:rPr>
      <w:rFonts w:ascii="Tahoma" w:hAnsi="Tahoma" w:cs="Tahoma"/>
      <w:sz w:val="16"/>
      <w:szCs w:val="16"/>
    </w:rPr>
  </w:style>
  <w:style w:type="character" w:customStyle="1" w:styleId="BalloonTextChar">
    <w:name w:val="Balloon Text Char"/>
    <w:basedOn w:val="DefaultParagraphFont"/>
    <w:link w:val="BalloonText"/>
    <w:uiPriority w:val="99"/>
    <w:semiHidden/>
    <w:rsid w:val="00834CD3"/>
    <w:rPr>
      <w:rFonts w:ascii="Tahoma" w:hAnsi="Tahoma" w:cs="Tahoma"/>
      <w:sz w:val="16"/>
      <w:szCs w:val="16"/>
    </w:rPr>
  </w:style>
  <w:style w:type="character" w:customStyle="1" w:styleId="Heading1Char">
    <w:name w:val="Heading 1 Char"/>
    <w:basedOn w:val="DefaultParagraphFont"/>
    <w:link w:val="Heading1"/>
    <w:uiPriority w:val="9"/>
    <w:rsid w:val="00E35F29"/>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9D1D2F"/>
    <w:rPr>
      <w:rFonts w:eastAsiaTheme="majorEastAsia" w:cstheme="majorBidi"/>
      <w:b/>
      <w:bCs/>
      <w:szCs w:val="26"/>
    </w:rPr>
  </w:style>
  <w:style w:type="paragraph" w:customStyle="1" w:styleId="Text-DS">
    <w:name w:val="Text - DS"/>
    <w:basedOn w:val="Normal"/>
    <w:qFormat/>
    <w:rsid w:val="00681AD2"/>
    <w:pPr>
      <w:spacing w:line="48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92912-9582-413C-B0C9-E85D4D7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2016-08-16T13:59:00Z</dcterms:created>
  <dcterms:modified xsi:type="dcterms:W3CDTF">2017-01-12T16:18:00Z</dcterms:modified>
</cp:coreProperties>
</file>